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8" w:rsidRPr="00701592" w:rsidRDefault="00701592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5724525" cy="3595687"/>
            <wp:effectExtent l="0" t="0" r="9525" b="2413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55A00" w:rsidRPr="00A7793F" w:rsidRDefault="00355A00">
      <w:pPr>
        <w:rPr>
          <w:rFonts w:ascii="Arial" w:hAnsi="Arial" w:cs="Arial"/>
          <w:lang w:val="en-US"/>
        </w:rPr>
      </w:pPr>
    </w:p>
    <w:p w:rsidR="00163118" w:rsidRPr="00355A00" w:rsidRDefault="00163118">
      <w:pPr>
        <w:rPr>
          <w:rFonts w:ascii="Arial" w:hAnsi="Arial" w:cs="Arial"/>
        </w:rPr>
      </w:pPr>
      <w:r w:rsidRPr="00355A00">
        <w:rPr>
          <w:rFonts w:ascii="Arial" w:hAnsi="Arial" w:cs="Arial"/>
          <w:noProof/>
          <w:lang w:eastAsia="de-DE"/>
        </w:rPr>
        <w:drawing>
          <wp:inline distT="0" distB="0" distL="0" distR="0">
            <wp:extent cx="5724525" cy="3914775"/>
            <wp:effectExtent l="0" t="0" r="0" b="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163118" w:rsidRPr="00355A00" w:rsidSect="002952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1BD6"/>
    <w:rsid w:val="00163118"/>
    <w:rsid w:val="0029526E"/>
    <w:rsid w:val="002C3A5B"/>
    <w:rsid w:val="00355A00"/>
    <w:rsid w:val="004B3A85"/>
    <w:rsid w:val="004D4C34"/>
    <w:rsid w:val="00701592"/>
    <w:rsid w:val="00851BD6"/>
    <w:rsid w:val="00861C1B"/>
    <w:rsid w:val="00875413"/>
    <w:rsid w:val="00A7793F"/>
    <w:rsid w:val="00B445CD"/>
    <w:rsid w:val="00BA5A37"/>
    <w:rsid w:val="00E910F5"/>
    <w:rsid w:val="00FF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52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mineral water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drinking water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7053930238753433"/>
                  <c:y val="-6.2082711871194619E-3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11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y = 1.0132x - 0.2139
R² = 0.9894</a:t>
                    </a:r>
                    <a:endParaRPr lang="en-US" sz="110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(Tabelle1!$F$6:$F$10;Tabelle1!$O$6:$O$11;Tabelle1!$X$6:$X$10)</c:f>
              <c:numCache>
                <c:formatCode>General</c:formatCode>
                <c:ptCount val="16"/>
                <c:pt idx="0">
                  <c:v>7.0170333392987789</c:v>
                </c:pt>
                <c:pt idx="1">
                  <c:v>6.0170333392987789</c:v>
                </c:pt>
                <c:pt idx="2">
                  <c:v>5.0170333392987789</c:v>
                </c:pt>
                <c:pt idx="3">
                  <c:v>4.0170333392987789</c:v>
                </c:pt>
                <c:pt idx="4">
                  <c:v>3.0170333392987794</c:v>
                </c:pt>
                <c:pt idx="5">
                  <c:v>6.7067177823367583</c:v>
                </c:pt>
                <c:pt idx="6">
                  <c:v>5.7067177823367583</c:v>
                </c:pt>
                <c:pt idx="7">
                  <c:v>4.7067177823367583</c:v>
                </c:pt>
                <c:pt idx="8">
                  <c:v>3.7067177823367601</c:v>
                </c:pt>
                <c:pt idx="9">
                  <c:v>2.7067177823367601</c:v>
                </c:pt>
                <c:pt idx="10">
                  <c:v>1.7067177823367592</c:v>
                </c:pt>
                <c:pt idx="11">
                  <c:v>6.7951845896824219</c:v>
                </c:pt>
                <c:pt idx="12">
                  <c:v>5.7951845896824219</c:v>
                </c:pt>
                <c:pt idx="13">
                  <c:v>4.7951845896824219</c:v>
                </c:pt>
                <c:pt idx="14">
                  <c:v>3.795184589682425</c:v>
                </c:pt>
                <c:pt idx="15">
                  <c:v>2.795184589682425</c:v>
                </c:pt>
              </c:numCache>
            </c:numRef>
          </c:xVal>
          <c:yVal>
            <c:numRef>
              <c:f>(Tabelle1!$D$6:$D$10;Tabelle1!$M$6:$M$11;Tabelle1!$V$6:$V$10)</c:f>
              <c:numCache>
                <c:formatCode>General</c:formatCode>
                <c:ptCount val="16"/>
                <c:pt idx="0">
                  <c:v>7.363611979892144</c:v>
                </c:pt>
                <c:pt idx="1">
                  <c:v>5.9380190974762099</c:v>
                </c:pt>
                <c:pt idx="2">
                  <c:v>4.6757783416740866</c:v>
                </c:pt>
                <c:pt idx="3">
                  <c:v>3.8469553250198221</c:v>
                </c:pt>
                <c:pt idx="4">
                  <c:v>2.9111576087399773</c:v>
                </c:pt>
                <c:pt idx="5">
                  <c:v>6.5198279937757189</c:v>
                </c:pt>
                <c:pt idx="6">
                  <c:v>5.5010592622177494</c:v>
                </c:pt>
                <c:pt idx="7">
                  <c:v>4.4393326938302673</c:v>
                </c:pt>
                <c:pt idx="8">
                  <c:v>3.6053050461411096</c:v>
                </c:pt>
                <c:pt idx="9">
                  <c:v>2.4099331233312937</c:v>
                </c:pt>
                <c:pt idx="10">
                  <c:v>1.7168377232995247</c:v>
                </c:pt>
                <c:pt idx="11">
                  <c:v>6.5502283530550942</c:v>
                </c:pt>
                <c:pt idx="12">
                  <c:v>5.663700925389648</c:v>
                </c:pt>
                <c:pt idx="13">
                  <c:v>4.5078558716958286</c:v>
                </c:pt>
                <c:pt idx="14">
                  <c:v>3.4456042032735974</c:v>
                </c:pt>
                <c:pt idx="15">
                  <c:v>2.7626785637274369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0380288"/>
        <c:axId val="210382208"/>
      </c:scatterChart>
      <c:valAx>
        <c:axId val="210380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100">
                    <a:latin typeface="Arial" panose="020B0604020202020204" pitchFamily="34" charset="0"/>
                    <a:cs typeface="Arial" panose="020B0604020202020204" pitchFamily="34" charset="0"/>
                  </a:rPr>
                  <a:t>CFU</a:t>
                </a:r>
                <a:r>
                  <a:rPr lang="de-DE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(log</a:t>
                </a:r>
                <a:r>
                  <a:rPr lang="de-DE" sz="1100" baseline="-25000">
                    <a:latin typeface="Arial" panose="020B0604020202020204" pitchFamily="34" charset="0"/>
                    <a:cs typeface="Arial" panose="020B0604020202020204" pitchFamily="34" charset="0"/>
                  </a:rPr>
                  <a:t>10</a:t>
                </a:r>
                <a:r>
                  <a:rPr lang="de-DE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) determined by culture enumeration</a:t>
                </a:r>
                <a:endParaRPr lang="de-DE" sz="11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0382208"/>
        <c:crosses val="autoZero"/>
        <c:crossBetween val="midCat"/>
      </c:valAx>
      <c:valAx>
        <c:axId val="2103822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100">
                    <a:latin typeface="Arial" panose="020B0604020202020204" pitchFamily="34" charset="0"/>
                    <a:cs typeface="Arial" panose="020B0604020202020204" pitchFamily="34" charset="0"/>
                  </a:rPr>
                  <a:t>CFU</a:t>
                </a:r>
                <a:r>
                  <a:rPr lang="de-DE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(log</a:t>
                </a:r>
                <a:r>
                  <a:rPr lang="de-DE" sz="1100" baseline="-25000">
                    <a:latin typeface="Arial" panose="020B0604020202020204" pitchFamily="34" charset="0"/>
                    <a:cs typeface="Arial" panose="020B0604020202020204" pitchFamily="34" charset="0"/>
                  </a:rPr>
                  <a:t>10</a:t>
                </a:r>
                <a:r>
                  <a:rPr lang="de-DE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) calculated from qPCR results</a:t>
                </a:r>
                <a:endParaRPr lang="de-DE" sz="11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2.3582218612024596E-2"/>
              <c:y val="8.156966944008201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10380288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rain water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rain water</c:v>
          </c:tx>
          <c:spPr>
            <a:ln w="28575">
              <a:noFill/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47555246941886031"/>
                  <c:y val="-1.77287328135078E-2"/>
                </c:manualLayout>
              </c:layout>
              <c:tx>
                <c:rich>
                  <a:bodyPr/>
                  <a:lstStyle/>
                  <a:p>
                    <a:pPr>
                      <a:defRPr sz="1100"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sz="1100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y = 0.9508x + 0.0952
R² = 0.9289</a:t>
                    </a:r>
                    <a:endParaRPr lang="en-US" sz="1100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(Tabelle1!$F$6:$F$10;Tabelle1!$O$6:$O$10;Tabelle1!$X$6:$X$11)</c:f>
              <c:numCache>
                <c:formatCode>General</c:formatCode>
                <c:ptCount val="16"/>
                <c:pt idx="0">
                  <c:v>6.8704039052790291</c:v>
                </c:pt>
                <c:pt idx="1">
                  <c:v>5.8704039052790291</c:v>
                </c:pt>
                <c:pt idx="2">
                  <c:v>4.8704039052790291</c:v>
                </c:pt>
                <c:pt idx="3">
                  <c:v>3.870403905279026</c:v>
                </c:pt>
                <c:pt idx="4">
                  <c:v>2.870403905279026</c:v>
                </c:pt>
                <c:pt idx="5">
                  <c:v>7.220108088040055</c:v>
                </c:pt>
                <c:pt idx="6">
                  <c:v>6.220108088040055</c:v>
                </c:pt>
                <c:pt idx="7">
                  <c:v>5.220108088040055</c:v>
                </c:pt>
                <c:pt idx="8">
                  <c:v>4.220108088040055</c:v>
                </c:pt>
                <c:pt idx="9">
                  <c:v>3.2201080880400559</c:v>
                </c:pt>
                <c:pt idx="10">
                  <c:v>6.7218106152125463</c:v>
                </c:pt>
                <c:pt idx="11">
                  <c:v>5.7218106152125463</c:v>
                </c:pt>
                <c:pt idx="12">
                  <c:v>4.7218106152125463</c:v>
                </c:pt>
                <c:pt idx="13">
                  <c:v>3.7218106152125472</c:v>
                </c:pt>
                <c:pt idx="14">
                  <c:v>2.7218106152125472</c:v>
                </c:pt>
                <c:pt idx="15">
                  <c:v>1.7218106152125456</c:v>
                </c:pt>
              </c:numCache>
            </c:numRef>
          </c:xVal>
          <c:yVal>
            <c:numRef>
              <c:f>(Tabelle1!$D$6:$D$10;Tabelle1!$M$6:$M$10;Tabelle1!$V$6:$V$11)</c:f>
              <c:numCache>
                <c:formatCode>General</c:formatCode>
                <c:ptCount val="16"/>
                <c:pt idx="0">
                  <c:v>6.6106601630898814</c:v>
                </c:pt>
                <c:pt idx="1">
                  <c:v>5.6608654780038696</c:v>
                </c:pt>
                <c:pt idx="2">
                  <c:v>5.5378190950732762</c:v>
                </c:pt>
                <c:pt idx="3">
                  <c:v>3.4668676203541082</c:v>
                </c:pt>
                <c:pt idx="4">
                  <c:v>2.3344537511509311</c:v>
                </c:pt>
                <c:pt idx="5">
                  <c:v>7.7226339225338121</c:v>
                </c:pt>
                <c:pt idx="6">
                  <c:v>6.2787536009528324</c:v>
                </c:pt>
                <c:pt idx="7">
                  <c:v>5.0170333392987789</c:v>
                </c:pt>
                <c:pt idx="8">
                  <c:v>4.1643528557844354</c:v>
                </c:pt>
                <c:pt idx="9">
                  <c:v>3.2095150145426312</c:v>
                </c:pt>
                <c:pt idx="10">
                  <c:v>5.6242820958356683</c:v>
                </c:pt>
                <c:pt idx="11">
                  <c:v>5.1673173347481756</c:v>
                </c:pt>
                <c:pt idx="12">
                  <c:v>4.3180633349627637</c:v>
                </c:pt>
                <c:pt idx="13">
                  <c:v>3.5024271199844326</c:v>
                </c:pt>
                <c:pt idx="14">
                  <c:v>2.8597385661971471</c:v>
                </c:pt>
                <c:pt idx="15">
                  <c:v>2.1003705451175647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849216"/>
        <c:axId val="105851136"/>
      </c:scatterChart>
      <c:valAx>
        <c:axId val="1058492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100">
                    <a:latin typeface="Arial" panose="020B0604020202020204" pitchFamily="34" charset="0"/>
                    <a:cs typeface="Arial" panose="020B0604020202020204" pitchFamily="34" charset="0"/>
                  </a:rPr>
                  <a:t>CFU</a:t>
                </a:r>
                <a:r>
                  <a:rPr lang="de-DE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(log</a:t>
                </a:r>
                <a:r>
                  <a:rPr lang="de-DE" sz="1100" baseline="-25000">
                    <a:latin typeface="Arial" panose="020B0604020202020204" pitchFamily="34" charset="0"/>
                    <a:cs typeface="Arial" panose="020B0604020202020204" pitchFamily="34" charset="0"/>
                  </a:rPr>
                  <a:t>10</a:t>
                </a:r>
                <a:r>
                  <a:rPr lang="de-DE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) determined by culture enumeration</a:t>
                </a:r>
                <a:endParaRPr lang="de-DE" sz="11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5851136"/>
        <c:crosses val="autoZero"/>
        <c:crossBetween val="midCat"/>
      </c:valAx>
      <c:valAx>
        <c:axId val="105851136"/>
        <c:scaling>
          <c:orientation val="minMax"/>
          <c:max val="8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 sz="1100">
                    <a:latin typeface="Arial" panose="020B0604020202020204" pitchFamily="34" charset="0"/>
                    <a:cs typeface="Arial" panose="020B0604020202020204" pitchFamily="34" charset="0"/>
                  </a:rPr>
                  <a:t>CFU</a:t>
                </a:r>
                <a:r>
                  <a:rPr lang="de-DE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 (log</a:t>
                </a:r>
                <a:r>
                  <a:rPr lang="de-DE" sz="1100" baseline="-25000">
                    <a:latin typeface="Arial" panose="020B0604020202020204" pitchFamily="34" charset="0"/>
                    <a:cs typeface="Arial" panose="020B0604020202020204" pitchFamily="34" charset="0"/>
                  </a:rPr>
                  <a:t>10</a:t>
                </a:r>
                <a:r>
                  <a:rPr lang="de-DE" sz="1100" baseline="0">
                    <a:latin typeface="Arial" panose="020B0604020202020204" pitchFamily="34" charset="0"/>
                    <a:cs typeface="Arial" panose="020B0604020202020204" pitchFamily="34" charset="0"/>
                  </a:rPr>
                  <a:t>) calculated from qPCR results</a:t>
                </a:r>
                <a:endParaRPr lang="de-DE" sz="11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2.1516081676231147E-2"/>
              <c:y val="0.1207294304342637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5849216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2014-09-22T11:12:00Z</dcterms:created>
  <dcterms:modified xsi:type="dcterms:W3CDTF">2014-11-04T12:53:00Z</dcterms:modified>
</cp:coreProperties>
</file>