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22" w:rsidRDefault="00615753" w:rsidP="00546F2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S2. </w:t>
      </w:r>
      <w:r w:rsidR="00C106DB">
        <w:rPr>
          <w:rFonts w:ascii="Times New Roman" w:hAnsi="Times New Roman" w:cs="Times New Roman"/>
          <w:b/>
          <w:sz w:val="28"/>
          <w:szCs w:val="28"/>
          <w:lang w:val="en-GB"/>
        </w:rPr>
        <w:t xml:space="preserve">Sampling effort </w:t>
      </w:r>
    </w:p>
    <w:p w:rsidR="00546F22" w:rsidRPr="002518A6" w:rsidRDefault="001360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18A6">
        <w:rPr>
          <w:rFonts w:ascii="Times New Roman" w:hAnsi="Times New Roman" w:cs="Times New Roman"/>
          <w:sz w:val="24"/>
          <w:szCs w:val="24"/>
          <w:lang w:val="en-GB"/>
        </w:rPr>
        <w:t>All sites were sampled intensively with equal sampling effort (</w:t>
      </w:r>
      <w:r w:rsidR="00D27829" w:rsidRPr="002518A6">
        <w:rPr>
          <w:rFonts w:ascii="Times New Roman" w:hAnsi="Times New Roman" w:cs="Times New Roman"/>
          <w:sz w:val="24"/>
          <w:szCs w:val="24"/>
          <w:lang w:val="en-GB"/>
        </w:rPr>
        <w:t>36</w:t>
      </w:r>
      <w:r w:rsidRPr="002518A6">
        <w:rPr>
          <w:rFonts w:ascii="Times New Roman" w:hAnsi="Times New Roman" w:cs="Times New Roman"/>
          <w:sz w:val="24"/>
          <w:szCs w:val="24"/>
          <w:lang w:val="en-GB"/>
        </w:rPr>
        <w:t>±</w:t>
      </w:r>
      <w:r w:rsidR="00D27829" w:rsidRPr="002518A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E64AF2" w:rsidRPr="002518A6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2518A6">
        <w:rPr>
          <w:rFonts w:ascii="Times New Roman" w:hAnsi="Times New Roman" w:cs="Times New Roman"/>
          <w:sz w:val="24"/>
          <w:szCs w:val="24"/>
          <w:lang w:val="en-GB"/>
        </w:rPr>
        <w:t xml:space="preserve"> per site). </w:t>
      </w:r>
      <w:r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546F22" w:rsidRPr="002518A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 extremely difficult to reach a rarefaction</w:t>
      </w:r>
      <w:r w:rsidR="00546F22"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 asymptote for interactions (</w:t>
      </w:r>
      <w:proofErr w:type="spellStart"/>
      <w:r w:rsidR="00432579" w:rsidRPr="002518A6">
        <w:rPr>
          <w:rFonts w:ascii="Times New Roman" w:hAnsi="Times New Roman" w:cs="Times New Roman"/>
          <w:sz w:val="24"/>
          <w:szCs w:val="24"/>
          <w:lang w:val="en-US"/>
        </w:rPr>
        <w:t>Chacoff</w:t>
      </w:r>
      <w:proofErr w:type="spellEnd"/>
      <w:r w:rsidR="00432579"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 et al. 2012</w:t>
      </w:r>
      <w:r w:rsidR="00546F22"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). In order to evaluate the sampling completeness of interactions across our sites in more detail, we used the method of Chao (1987), calculating the Chao 2 estimator of asymptotic species richness (using interactions instead of species): </w:t>
      </w:r>
    </w:p>
    <w:p w:rsidR="00546F22" w:rsidRPr="002518A6" w:rsidRDefault="00546F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18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18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E </w:t>
      </w:r>
      <w:r w:rsidRPr="002518A6">
        <w:rPr>
          <w:rFonts w:ascii="Times New Roman" w:hAnsi="Times New Roman" w:cs="Times New Roman"/>
          <w:sz w:val="24"/>
          <w:szCs w:val="24"/>
          <w:lang w:val="en-US"/>
        </w:rPr>
        <w:t>=S</w:t>
      </w:r>
      <w:r w:rsidRPr="002518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 + (L</w:t>
      </w:r>
      <w:r w:rsidRPr="002518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/2M), </w:t>
      </w:r>
    </w:p>
    <w:p w:rsidR="00CF3B03" w:rsidRPr="002518A6" w:rsidRDefault="00546F22" w:rsidP="00CF3B03">
      <w:pPr>
        <w:rPr>
          <w:noProof/>
          <w:sz w:val="24"/>
          <w:szCs w:val="24"/>
          <w:lang w:val="en-US" w:eastAsia="pt-BR"/>
        </w:rPr>
      </w:pPr>
      <w:proofErr w:type="gramStart"/>
      <w:r w:rsidRPr="002518A6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 L is the number of interactions that occur in only one sample, M is the number of interactions that occur in exactly two</w:t>
      </w:r>
      <w:bookmarkStart w:id="0" w:name="_GoBack"/>
      <w:bookmarkEnd w:id="0"/>
      <w:r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 samples, and S</w:t>
      </w:r>
      <w:r w:rsidRPr="002518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 is the observed number of unique interactions. Then, to estimate the percent asymptotic richness detected we calculated the ratio of S</w:t>
      </w:r>
      <w:r w:rsidRPr="002518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O </w:t>
      </w:r>
      <w:r w:rsidRPr="002518A6">
        <w:rPr>
          <w:rFonts w:ascii="Times New Roman" w:hAnsi="Times New Roman" w:cs="Times New Roman"/>
          <w:sz w:val="24"/>
          <w:szCs w:val="24"/>
          <w:lang w:val="en-US"/>
        </w:rPr>
        <w:t>to S</w:t>
      </w:r>
      <w:r w:rsidRPr="002518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518A6">
        <w:rPr>
          <w:rFonts w:ascii="Times New Roman" w:hAnsi="Times New Roman" w:cs="Times New Roman"/>
          <w:sz w:val="24"/>
          <w:szCs w:val="24"/>
          <w:lang w:val="en-US"/>
        </w:rPr>
        <w:t>Chacoff</w:t>
      </w:r>
      <w:proofErr w:type="spellEnd"/>
      <w:r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 et al. 201</w:t>
      </w:r>
      <w:r w:rsidR="00432579" w:rsidRPr="002518A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). The average percent asymptotic richness detected across sites was </w:t>
      </w:r>
      <w:r w:rsidRPr="002518A6">
        <w:rPr>
          <w:rFonts w:ascii="Times New Roman" w:hAnsi="Times New Roman" w:cs="Times New Roman"/>
          <w:sz w:val="24"/>
          <w:szCs w:val="24"/>
          <w:lang w:val="en-GB"/>
        </w:rPr>
        <w:t xml:space="preserve">58.13%, SD = 4.63 </w:t>
      </w:r>
      <w:r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(55% detected by </w:t>
      </w:r>
      <w:proofErr w:type="spellStart"/>
      <w:r w:rsidRPr="002518A6">
        <w:rPr>
          <w:rFonts w:ascii="Times New Roman" w:hAnsi="Times New Roman" w:cs="Times New Roman"/>
          <w:sz w:val="24"/>
          <w:szCs w:val="24"/>
          <w:lang w:val="en-US"/>
        </w:rPr>
        <w:t>Chacoff</w:t>
      </w:r>
      <w:proofErr w:type="spellEnd"/>
      <w:r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 et al. 201</w:t>
      </w:r>
      <w:r w:rsidR="00432579" w:rsidRPr="002518A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518A6">
        <w:rPr>
          <w:rFonts w:ascii="Times New Roman" w:hAnsi="Times New Roman" w:cs="Times New Roman"/>
          <w:sz w:val="24"/>
          <w:szCs w:val="24"/>
          <w:lang w:val="en-US"/>
        </w:rPr>
        <w:t xml:space="preserve"> for comparison). Based on these calculations and visual inspection of the rarefaction curves, we argue that sites are adequately and, importantly for this study, equally well, sampled.</w:t>
      </w:r>
    </w:p>
    <w:p w:rsidR="0097642D" w:rsidRPr="002518A6" w:rsidRDefault="0097642D" w:rsidP="00CF3B03">
      <w:pPr>
        <w:jc w:val="center"/>
        <w:rPr>
          <w:sz w:val="24"/>
          <w:szCs w:val="24"/>
        </w:rPr>
      </w:pPr>
      <w:r w:rsidRPr="002518A6">
        <w:rPr>
          <w:noProof/>
          <w:sz w:val="24"/>
          <w:szCs w:val="24"/>
          <w:lang w:eastAsia="pt-BR"/>
        </w:rPr>
        <w:drawing>
          <wp:inline distT="0" distB="0" distL="0" distR="0" wp14:anchorId="623889F4" wp14:editId="2E114F2D">
            <wp:extent cx="5056827" cy="2956956"/>
            <wp:effectExtent l="0" t="0" r="0" b="0"/>
            <wp:docPr id="2" name="Imagem 2" descr="C:\Users\Patricia\Dropbox\Beta diversity of interactions\MS\Revision\Appendix\Rarefac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ia\Dropbox\Beta diversity of interactions\MS\Revision\Appendix\Rarefactio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4" b="1760"/>
                    <a:stretch/>
                  </pic:blipFill>
                  <pic:spPr bwMode="auto">
                    <a:xfrm>
                      <a:off x="0" y="0"/>
                      <a:ext cx="5065548" cy="296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4935" w:type="dxa"/>
        <w:jc w:val="center"/>
        <w:tblInd w:w="-11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216"/>
        <w:gridCol w:w="2384"/>
      </w:tblGrid>
      <w:tr w:rsidR="00CF3B03" w:rsidRPr="002518A6" w:rsidTr="002518A6">
        <w:trPr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B03" w:rsidRPr="002518A6" w:rsidRDefault="00CF3B03" w:rsidP="00081F9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Site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B03" w:rsidRPr="002518A6" w:rsidRDefault="00CF3B03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Chao2 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B03" w:rsidRPr="002518A6" w:rsidRDefault="00CF3B03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Sampling time (min)</w:t>
            </w:r>
          </w:p>
        </w:tc>
      </w:tr>
      <w:tr w:rsidR="00CF3B03" w:rsidRPr="002518A6" w:rsidTr="002518A6">
        <w:trPr>
          <w:jc w:val="center"/>
        </w:trPr>
        <w:tc>
          <w:tcPr>
            <w:tcW w:w="1335" w:type="dxa"/>
            <w:tcBorders>
              <w:top w:val="single" w:sz="4" w:space="0" w:color="auto"/>
            </w:tcBorders>
            <w:vAlign w:val="bottom"/>
          </w:tcPr>
          <w:p w:rsidR="00CF3B03" w:rsidRPr="002518A6" w:rsidRDefault="00CF3B03" w:rsidP="00081F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Gigante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CF3B03" w:rsidRPr="002518A6" w:rsidRDefault="00CF3B03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62.96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CF3B03" w:rsidRPr="002518A6" w:rsidRDefault="00D27829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2190</w:t>
            </w:r>
          </w:p>
        </w:tc>
      </w:tr>
      <w:tr w:rsidR="00CF3B03" w:rsidRPr="002518A6" w:rsidTr="002518A6">
        <w:trPr>
          <w:jc w:val="center"/>
        </w:trPr>
        <w:tc>
          <w:tcPr>
            <w:tcW w:w="1335" w:type="dxa"/>
            <w:vAlign w:val="bottom"/>
          </w:tcPr>
          <w:p w:rsidR="00CF3B03" w:rsidRPr="002518A6" w:rsidRDefault="00CF3B03" w:rsidP="00081F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Paulino</w:t>
            </w:r>
            <w:proofErr w:type="spellEnd"/>
          </w:p>
        </w:tc>
        <w:tc>
          <w:tcPr>
            <w:tcW w:w="1216" w:type="dxa"/>
            <w:vAlign w:val="center"/>
          </w:tcPr>
          <w:p w:rsidR="00CF3B03" w:rsidRPr="002518A6" w:rsidRDefault="00CF3B03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54.55</w:t>
            </w:r>
          </w:p>
        </w:tc>
        <w:tc>
          <w:tcPr>
            <w:tcW w:w="2384" w:type="dxa"/>
          </w:tcPr>
          <w:p w:rsidR="00CF3B03" w:rsidRPr="002518A6" w:rsidRDefault="00D27829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2220</w:t>
            </w:r>
          </w:p>
        </w:tc>
      </w:tr>
      <w:tr w:rsidR="00CF3B03" w:rsidRPr="002518A6" w:rsidTr="002518A6">
        <w:trPr>
          <w:jc w:val="center"/>
        </w:trPr>
        <w:tc>
          <w:tcPr>
            <w:tcW w:w="1335" w:type="dxa"/>
            <w:vAlign w:val="bottom"/>
          </w:tcPr>
          <w:p w:rsidR="00CF3B03" w:rsidRPr="002518A6" w:rsidRDefault="00CF3B03" w:rsidP="00081F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Tinkerbell</w:t>
            </w:r>
            <w:proofErr w:type="spellEnd"/>
          </w:p>
        </w:tc>
        <w:tc>
          <w:tcPr>
            <w:tcW w:w="1216" w:type="dxa"/>
            <w:vAlign w:val="center"/>
          </w:tcPr>
          <w:p w:rsidR="00CF3B03" w:rsidRPr="002518A6" w:rsidRDefault="00CF3B03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64.56</w:t>
            </w:r>
          </w:p>
        </w:tc>
        <w:tc>
          <w:tcPr>
            <w:tcW w:w="2384" w:type="dxa"/>
          </w:tcPr>
          <w:p w:rsidR="00CF3B03" w:rsidRPr="002518A6" w:rsidRDefault="00D27829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2100</w:t>
            </w:r>
          </w:p>
        </w:tc>
      </w:tr>
      <w:tr w:rsidR="00CF3B03" w:rsidRPr="002518A6" w:rsidTr="002518A6">
        <w:trPr>
          <w:jc w:val="center"/>
        </w:trPr>
        <w:tc>
          <w:tcPr>
            <w:tcW w:w="1335" w:type="dxa"/>
            <w:vAlign w:val="bottom"/>
          </w:tcPr>
          <w:p w:rsidR="00CF3B03" w:rsidRPr="002518A6" w:rsidRDefault="00CF3B03" w:rsidP="00081F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Midway</w:t>
            </w:r>
          </w:p>
        </w:tc>
        <w:tc>
          <w:tcPr>
            <w:tcW w:w="1216" w:type="dxa"/>
            <w:vAlign w:val="center"/>
          </w:tcPr>
          <w:p w:rsidR="00CF3B03" w:rsidRPr="002518A6" w:rsidRDefault="00CF3B03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61.30</w:t>
            </w:r>
          </w:p>
        </w:tc>
        <w:tc>
          <w:tcPr>
            <w:tcW w:w="2384" w:type="dxa"/>
          </w:tcPr>
          <w:p w:rsidR="00CF3B03" w:rsidRPr="002518A6" w:rsidRDefault="00D27829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2190</w:t>
            </w:r>
          </w:p>
        </w:tc>
      </w:tr>
      <w:tr w:rsidR="00CF3B03" w:rsidRPr="002518A6" w:rsidTr="002518A6">
        <w:trPr>
          <w:jc w:val="center"/>
        </w:trPr>
        <w:tc>
          <w:tcPr>
            <w:tcW w:w="1335" w:type="dxa"/>
            <w:vAlign w:val="bottom"/>
          </w:tcPr>
          <w:p w:rsidR="00CF3B03" w:rsidRPr="002518A6" w:rsidRDefault="00CF3B03" w:rsidP="00081F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Cedro</w:t>
            </w:r>
            <w:proofErr w:type="spellEnd"/>
          </w:p>
        </w:tc>
        <w:tc>
          <w:tcPr>
            <w:tcW w:w="1216" w:type="dxa"/>
            <w:vAlign w:val="center"/>
          </w:tcPr>
          <w:p w:rsidR="00CF3B03" w:rsidRPr="002518A6" w:rsidRDefault="00CF3B03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53.45</w:t>
            </w:r>
          </w:p>
        </w:tc>
        <w:tc>
          <w:tcPr>
            <w:tcW w:w="2384" w:type="dxa"/>
          </w:tcPr>
          <w:p w:rsidR="00CF3B03" w:rsidRPr="002518A6" w:rsidRDefault="00D27829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2130</w:t>
            </w:r>
          </w:p>
        </w:tc>
      </w:tr>
      <w:tr w:rsidR="00CF3B03" w:rsidRPr="002518A6" w:rsidTr="002518A6">
        <w:trPr>
          <w:jc w:val="center"/>
        </w:trPr>
        <w:tc>
          <w:tcPr>
            <w:tcW w:w="1335" w:type="dxa"/>
            <w:vAlign w:val="bottom"/>
          </w:tcPr>
          <w:p w:rsidR="00CF3B03" w:rsidRPr="002518A6" w:rsidRDefault="00CF3B03" w:rsidP="00081F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Elefante</w:t>
            </w:r>
            <w:proofErr w:type="spellEnd"/>
          </w:p>
        </w:tc>
        <w:tc>
          <w:tcPr>
            <w:tcW w:w="1216" w:type="dxa"/>
            <w:vAlign w:val="center"/>
          </w:tcPr>
          <w:p w:rsidR="00CF3B03" w:rsidRPr="002518A6" w:rsidRDefault="00CF3B03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55.19</w:t>
            </w:r>
          </w:p>
        </w:tc>
        <w:tc>
          <w:tcPr>
            <w:tcW w:w="2384" w:type="dxa"/>
          </w:tcPr>
          <w:p w:rsidR="00CF3B03" w:rsidRPr="002518A6" w:rsidRDefault="00D27829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2130</w:t>
            </w:r>
          </w:p>
        </w:tc>
      </w:tr>
      <w:tr w:rsidR="00CF3B03" w:rsidRPr="002518A6" w:rsidTr="002518A6">
        <w:trPr>
          <w:jc w:val="center"/>
        </w:trPr>
        <w:tc>
          <w:tcPr>
            <w:tcW w:w="1335" w:type="dxa"/>
            <w:tcBorders>
              <w:bottom w:val="single" w:sz="4" w:space="0" w:color="auto"/>
            </w:tcBorders>
            <w:vAlign w:val="bottom"/>
          </w:tcPr>
          <w:p w:rsidR="00CF3B03" w:rsidRPr="002518A6" w:rsidRDefault="00CF3B03" w:rsidP="00081F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Soizig</w:t>
            </w:r>
            <w:proofErr w:type="spellEnd"/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CF3B03" w:rsidRPr="002518A6" w:rsidRDefault="00CF3B03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54.89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CF3B03" w:rsidRPr="002518A6" w:rsidRDefault="00D27829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2190</w:t>
            </w:r>
          </w:p>
        </w:tc>
      </w:tr>
      <w:tr w:rsidR="00CF3B03" w:rsidRPr="002518A6" w:rsidTr="002518A6">
        <w:trPr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B03" w:rsidRPr="002518A6" w:rsidRDefault="00CF3B03" w:rsidP="002518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Average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B03" w:rsidRPr="002518A6" w:rsidRDefault="00CF3B03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58.13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B03" w:rsidRPr="002518A6" w:rsidRDefault="00D27829" w:rsidP="00081F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18A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2164</w:t>
            </w:r>
          </w:p>
        </w:tc>
      </w:tr>
    </w:tbl>
    <w:p w:rsidR="00CF4A1F" w:rsidRPr="002518A6" w:rsidRDefault="00CF4A1F" w:rsidP="00CF4A1F">
      <w:pPr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2518A6"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t>Chao A (1987) Estimating the population size capture-recapture data with unequal catchability. Biometrics 43: 783-791.</w:t>
      </w:r>
    </w:p>
    <w:p w:rsidR="00CF4A1F" w:rsidRPr="002518A6" w:rsidRDefault="00CF4A1F" w:rsidP="00CF4A1F">
      <w:pPr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bookmarkStart w:id="1" w:name="_ENREF_52"/>
      <w:r w:rsidRPr="002518A6">
        <w:rPr>
          <w:rFonts w:ascii="Times New Roman" w:hAnsi="Times New Roman" w:cs="Times New Roman"/>
          <w:noProof/>
          <w:sz w:val="24"/>
          <w:szCs w:val="24"/>
          <w:lang w:val="en-GB"/>
        </w:rPr>
        <w:t>Chacoff NP, Vázquez DP, Lomáscolo SB, Stevani EL, Dorado J, et al. (2012) Evaluating sampling completeness in a desert plant-pollinator network. Journal of Animal Ecology 81:190-200.</w:t>
      </w:r>
      <w:bookmarkEnd w:id="1"/>
    </w:p>
    <w:p w:rsidR="00CF4A1F" w:rsidRPr="00CF4A1F" w:rsidRDefault="00CF4A1F" w:rsidP="00CF3B03">
      <w:pPr>
        <w:rPr>
          <w:rFonts w:ascii="Times New Roman" w:hAnsi="Times New Roman" w:cs="Times New Roman"/>
          <w:lang w:val="en-GB"/>
        </w:rPr>
      </w:pPr>
    </w:p>
    <w:sectPr w:rsidR="00CF4A1F" w:rsidRPr="00CF4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D"/>
    <w:rsid w:val="00136080"/>
    <w:rsid w:val="001D7F36"/>
    <w:rsid w:val="002518A6"/>
    <w:rsid w:val="00353FDE"/>
    <w:rsid w:val="00383C41"/>
    <w:rsid w:val="00432579"/>
    <w:rsid w:val="00546F22"/>
    <w:rsid w:val="00615753"/>
    <w:rsid w:val="007A1044"/>
    <w:rsid w:val="0097642D"/>
    <w:rsid w:val="00C106DB"/>
    <w:rsid w:val="00C17CC9"/>
    <w:rsid w:val="00CF3B03"/>
    <w:rsid w:val="00CF4A1F"/>
    <w:rsid w:val="00D27829"/>
    <w:rsid w:val="00E6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4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360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60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60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4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360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60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60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W. Carstensen</dc:creator>
  <cp:lastModifiedBy>Daniel W. Carstensen</cp:lastModifiedBy>
  <cp:revision>13</cp:revision>
  <dcterms:created xsi:type="dcterms:W3CDTF">2014-02-27T14:13:00Z</dcterms:created>
  <dcterms:modified xsi:type="dcterms:W3CDTF">2014-09-25T19:15:00Z</dcterms:modified>
</cp:coreProperties>
</file>