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2D" w:rsidRPr="00BA5166" w:rsidRDefault="0091772D" w:rsidP="0091772D">
      <w:pPr>
        <w:pageBreakBefore/>
        <w:widowControl/>
        <w:wordWrap/>
        <w:snapToGrid w:val="0"/>
        <w:jc w:val="left"/>
        <w:rPr>
          <w:rFonts w:ascii="Times New Roman" w:hint="default"/>
          <w:color w:val="000000" w:themeColor="text1"/>
          <w:sz w:val="24"/>
        </w:rPr>
      </w:pPr>
      <w:r w:rsidRPr="00BA5166">
        <w:rPr>
          <w:rFonts w:ascii="Times New Roman"/>
          <w:color w:val="000000" w:themeColor="text1"/>
          <w:sz w:val="24"/>
        </w:rPr>
        <w:t>Table</w:t>
      </w:r>
      <w:r w:rsidR="00BA5166">
        <w:rPr>
          <w:rFonts w:ascii="Times New Roman"/>
          <w:color w:val="000000" w:themeColor="text1"/>
          <w:sz w:val="24"/>
        </w:rPr>
        <w:t xml:space="preserve"> S1</w:t>
      </w:r>
      <w:r w:rsidRPr="00BA5166">
        <w:rPr>
          <w:rFonts w:ascii="Times New Roman"/>
          <w:color w:val="000000" w:themeColor="text1"/>
          <w:sz w:val="24"/>
        </w:rPr>
        <w:t xml:space="preserve"> Characteristics of the four clusters of COREA patients (adapted from the reference 16) </w:t>
      </w:r>
    </w:p>
    <w:tbl>
      <w:tblPr>
        <w:tblW w:w="13660" w:type="dxa"/>
        <w:tblBorders>
          <w:top w:val="single" w:sz="18" w:space="0" w:color="000000"/>
          <w:bottom w:val="single" w:sz="18" w:space="0" w:color="000000"/>
        </w:tblBorders>
        <w:tblLook w:val="0000" w:firstRow="0" w:lastRow="0" w:firstColumn="0" w:lastColumn="0" w:noHBand="0" w:noVBand="0"/>
      </w:tblPr>
      <w:tblGrid>
        <w:gridCol w:w="4308"/>
        <w:gridCol w:w="1975"/>
        <w:gridCol w:w="1975"/>
        <w:gridCol w:w="1975"/>
        <w:gridCol w:w="2137"/>
        <w:gridCol w:w="1290"/>
      </w:tblGrid>
      <w:tr w:rsidR="00BA5166" w:rsidRPr="00BA5166" w:rsidTr="005D1006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b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/>
                <w:color w:val="000000" w:themeColor="text1"/>
                <w:sz w:val="24"/>
              </w:rPr>
              <w:t>Cluster A</w:t>
            </w:r>
          </w:p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/>
                <w:color w:val="000000" w:themeColor="text1"/>
                <w:sz w:val="24"/>
              </w:rPr>
              <w:t>(n=81)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/>
                <w:color w:val="000000" w:themeColor="text1"/>
                <w:sz w:val="24"/>
              </w:rPr>
              <w:t>Cluster B</w:t>
            </w:r>
          </w:p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/>
                <w:color w:val="000000" w:themeColor="text1"/>
                <w:sz w:val="24"/>
              </w:rPr>
              <w:t>(n=151)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/>
                <w:color w:val="000000" w:themeColor="text1"/>
                <w:sz w:val="24"/>
              </w:rPr>
              <w:t>Cluster C</w:t>
            </w:r>
          </w:p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/>
                <w:color w:val="000000" w:themeColor="text1"/>
                <w:sz w:val="24"/>
              </w:rPr>
              <w:t>(n=253)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/>
                <w:color w:val="000000" w:themeColor="text1"/>
                <w:sz w:val="24"/>
              </w:rPr>
              <w:t>Cluster D</w:t>
            </w:r>
          </w:p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/>
                <w:color w:val="000000" w:themeColor="text1"/>
                <w:sz w:val="24"/>
              </w:rPr>
              <w:t>(n=239)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/>
                <w:color w:val="000000" w:themeColor="text1"/>
                <w:sz w:val="24"/>
              </w:rPr>
              <w:t>P value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Gender (% of male)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97.4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41.3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47.2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25.8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 xml:space="preserve">Age at onset, </w:t>
            </w:r>
            <w:proofErr w:type="spellStart"/>
            <w:r w:rsidRPr="00BA5166">
              <w:rPr>
                <w:rFonts w:ascii="Times New Roman"/>
                <w:color w:val="000000" w:themeColor="text1"/>
                <w:sz w:val="24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46.2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38.8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21.8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47.8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Body mass index (kg/m</w:t>
            </w:r>
            <w:r w:rsidRPr="00BA5166">
              <w:rPr>
                <w:rFonts w:ascii="Times New Roman"/>
                <w:color w:val="000000" w:themeColor="text1"/>
                <w:sz w:val="24"/>
                <w:vertAlign w:val="superscript"/>
              </w:rPr>
              <w:t>2</w:t>
            </w:r>
            <w:r w:rsidRPr="00BA5166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24.71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23.50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23.09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24.35 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Smoking (pack-years)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34.4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3.2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3.7</w:t>
            </w:r>
            <w:r w:rsidRPr="00BA5166">
              <w:rPr>
                <w:rFonts w:ascii="Times New Roman"/>
                <w:color w:val="000000" w:themeColor="text1"/>
                <w:sz w:val="24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proofErr w:type="spellStart"/>
            <w:r w:rsidRPr="00BA5166">
              <w:rPr>
                <w:rFonts w:ascii="Times New Roman"/>
                <w:color w:val="000000" w:themeColor="text1"/>
                <w:sz w:val="24"/>
              </w:rPr>
              <w:t>Atopy</w:t>
            </w:r>
            <w:proofErr w:type="spellEnd"/>
            <w:r w:rsidRPr="00BA5166">
              <w:rPr>
                <w:rFonts w:ascii="Times New Roman"/>
                <w:color w:val="000000" w:themeColor="text1"/>
                <w:sz w:val="24"/>
              </w:rPr>
              <w:t>, %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History of HU (% positive)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Rhinitis (% of positivity)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0.056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proofErr w:type="spellStart"/>
            <w:r w:rsidRPr="00BA5166">
              <w:rPr>
                <w:rFonts w:ascii="Times New Roman"/>
                <w:color w:val="000000" w:themeColor="text1"/>
                <w:sz w:val="24"/>
              </w:rPr>
              <w:t>PostBD</w:t>
            </w:r>
            <w:proofErr w:type="spellEnd"/>
            <w:r w:rsidRPr="00BA5166">
              <w:rPr>
                <w:rFonts w:ascii="Times New Roman"/>
                <w:color w:val="000000" w:themeColor="text1"/>
                <w:sz w:val="24"/>
              </w:rPr>
              <w:t xml:space="preserve"> FEV1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82.47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56.48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88.62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97.94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proofErr w:type="spellStart"/>
            <w:r w:rsidRPr="00BA5166">
              <w:rPr>
                <w:rFonts w:ascii="Times New Roman"/>
                <w:color w:val="000000" w:themeColor="text1"/>
                <w:sz w:val="24"/>
              </w:rPr>
              <w:t>PostBD</w:t>
            </w:r>
            <w:proofErr w:type="spellEnd"/>
            <w:r w:rsidRPr="00BA5166">
              <w:rPr>
                <w:rFonts w:ascii="Times New Roman"/>
                <w:color w:val="000000" w:themeColor="text1"/>
                <w:sz w:val="24"/>
              </w:rPr>
              <w:t xml:space="preserve"> % increased of FEV1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5.90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12.00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6.24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4.34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proofErr w:type="spellStart"/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PostBD</w:t>
            </w:r>
            <w:proofErr w:type="spellEnd"/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FEV1/FVC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71.44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67.84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84.76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80.25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PC20 (mg/ml)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4.95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3.11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5.49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5.64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0.03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 xml:space="preserve">Blood </w:t>
            </w:r>
            <w:proofErr w:type="spellStart"/>
            <w:r w:rsidRPr="00BA5166">
              <w:rPr>
                <w:rFonts w:ascii="Times New Roman"/>
                <w:color w:val="000000" w:themeColor="text1"/>
                <w:sz w:val="24"/>
              </w:rPr>
              <w:t>eosinophils</w:t>
            </w:r>
            <w:proofErr w:type="spellEnd"/>
            <w:r w:rsidRPr="00BA5166">
              <w:rPr>
                <w:rFonts w:ascii="Times New Roman"/>
                <w:color w:val="000000" w:themeColor="text1"/>
                <w:sz w:val="24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4.80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5.60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5.50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5.02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0.612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Blood eosinophil count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(/mm</w:t>
            </w:r>
            <w:r w:rsidRPr="00BA5166">
              <w:rPr>
                <w:rFonts w:ascii="Times New Roman"/>
                <w:bCs/>
                <w:color w:val="000000" w:themeColor="text1"/>
                <w:sz w:val="24"/>
                <w:vertAlign w:val="superscript"/>
              </w:rPr>
              <w:t>3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388.4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409.6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377.9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354.3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331.0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301.1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0.247</w:t>
            </w:r>
          </w:p>
        </w:tc>
      </w:tr>
      <w:tr w:rsidR="00BA5166" w:rsidRPr="00BA5166" w:rsidTr="005D1006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color w:val="000000" w:themeColor="text1"/>
                <w:sz w:val="24"/>
              </w:rPr>
              <w:t>Log blood eosinophil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2.42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2.40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2.41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2.34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0.445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Blood neutrophil count (/mm</w:t>
            </w:r>
            <w:r w:rsidRPr="00BA5166">
              <w:rPr>
                <w:rFonts w:ascii="Times New Roman"/>
                <w:bCs/>
                <w:color w:val="000000" w:themeColor="text1"/>
                <w:sz w:val="24"/>
                <w:vertAlign w:val="superscript"/>
              </w:rPr>
              <w:t>3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4397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4672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4107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3631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Serum CRP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0.78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0.61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0.21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0.37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0.02</w:t>
            </w:r>
          </w:p>
        </w:tc>
      </w:tr>
      <w:tr w:rsidR="00BA5166" w:rsidRPr="00BA5166" w:rsidTr="005D100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Serum uric acid levels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5.85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5.13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5.10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4.85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&lt;0.001</w:t>
            </w:r>
          </w:p>
        </w:tc>
      </w:tr>
      <w:tr w:rsidR="00BA5166" w:rsidRPr="00BA5166" w:rsidTr="005D1006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Serum Total </w:t>
            </w:r>
            <w:proofErr w:type="spellStart"/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IgE</w:t>
            </w:r>
            <w:proofErr w:type="spellEnd"/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(Log IU/L)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2.41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2.26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2.35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2.14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±</w:t>
            </w: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 xml:space="preserve"> 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772D" w:rsidRPr="00BA5166" w:rsidRDefault="0091772D" w:rsidP="005D1006">
            <w:pPr>
              <w:wordWrap/>
              <w:snapToGrid w:val="0"/>
              <w:jc w:val="center"/>
              <w:rPr>
                <w:rFonts w:ascii="Times New Roman" w:hint="default"/>
                <w:bCs/>
                <w:color w:val="000000" w:themeColor="text1"/>
                <w:sz w:val="24"/>
              </w:rPr>
            </w:pPr>
            <w:r w:rsidRPr="00BA5166">
              <w:rPr>
                <w:rFonts w:ascii="Times New Roman"/>
                <w:bCs/>
                <w:color w:val="000000" w:themeColor="text1"/>
                <w:sz w:val="24"/>
              </w:rPr>
              <w:t>0.008</w:t>
            </w:r>
          </w:p>
        </w:tc>
      </w:tr>
    </w:tbl>
    <w:p w:rsidR="0091772D" w:rsidRPr="00BA5166" w:rsidRDefault="0091772D" w:rsidP="0091772D">
      <w:pPr>
        <w:wordWrap/>
        <w:snapToGrid w:val="0"/>
        <w:jc w:val="left"/>
        <w:rPr>
          <w:rFonts w:ascii="Times New Roman" w:hint="default"/>
          <w:color w:val="000000" w:themeColor="text1"/>
          <w:szCs w:val="20"/>
        </w:rPr>
      </w:pPr>
      <w:r w:rsidRPr="00BA5166">
        <w:rPr>
          <w:rFonts w:ascii="Times New Roman"/>
          <w:color w:val="000000" w:themeColor="text1"/>
          <w:szCs w:val="20"/>
        </w:rPr>
        <w:t xml:space="preserve">Comparison between study groups is based on One-way ANOVA analysis for continuous variables and a </w:t>
      </w:r>
      <w:r w:rsidRPr="00BA5166">
        <w:rPr>
          <w:rFonts w:ascii="Times New Roman"/>
          <w:color w:val="000000" w:themeColor="text1"/>
          <w:szCs w:val="20"/>
        </w:rPr>
        <w:t>χ</w:t>
      </w:r>
      <w:r w:rsidRPr="00BA5166">
        <w:rPr>
          <w:rFonts w:ascii="Times New Roman"/>
          <w:color w:val="000000" w:themeColor="text1"/>
          <w:szCs w:val="20"/>
          <w:vertAlign w:val="superscript"/>
        </w:rPr>
        <w:t>2</w:t>
      </w:r>
      <w:r w:rsidRPr="00BA5166">
        <w:rPr>
          <w:rFonts w:ascii="Times New Roman"/>
          <w:color w:val="000000" w:themeColor="text1"/>
          <w:szCs w:val="20"/>
        </w:rPr>
        <w:t xml:space="preserve"> test for proportions. Data indicate means </w:t>
      </w:r>
      <w:r w:rsidRPr="00BA5166">
        <w:rPr>
          <w:rFonts w:ascii="Times New Roman"/>
          <w:color w:val="000000" w:themeColor="text1"/>
          <w:szCs w:val="20"/>
        </w:rPr>
        <w:t>±</w:t>
      </w:r>
      <w:r w:rsidRPr="00BA5166">
        <w:rPr>
          <w:rFonts w:ascii="Times New Roman"/>
          <w:color w:val="000000" w:themeColor="text1"/>
          <w:szCs w:val="20"/>
        </w:rPr>
        <w:t xml:space="preserve"> SDs. </w:t>
      </w:r>
    </w:p>
    <w:p w:rsidR="0091772D" w:rsidRPr="00BA5166" w:rsidRDefault="0091772D" w:rsidP="0091772D">
      <w:pPr>
        <w:pageBreakBefore/>
        <w:wordWrap/>
        <w:snapToGrid w:val="0"/>
        <w:contextualSpacing/>
        <w:rPr>
          <w:rFonts w:ascii="Times New Roman" w:hAnsi="Times New Roman" w:hint="default"/>
          <w:color w:val="000000" w:themeColor="text1"/>
          <w:sz w:val="24"/>
          <w:szCs w:val="24"/>
        </w:rPr>
      </w:pPr>
      <w:r w:rsidRPr="00BA5166">
        <w:rPr>
          <w:rFonts w:ascii="Times New Roman" w:hAnsi="Times New Roman" w:hint="default"/>
          <w:color w:val="000000" w:themeColor="text1"/>
          <w:sz w:val="24"/>
          <w:szCs w:val="24"/>
        </w:rPr>
        <w:lastRenderedPageBreak/>
        <w:t>Table</w:t>
      </w:r>
      <w:r w:rsidR="00BA5166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Pr="00BA5166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BA5166">
        <w:rPr>
          <w:rFonts w:ascii="Times New Roman" w:hAnsi="Times New Roman" w:hint="default"/>
          <w:color w:val="000000" w:themeColor="text1"/>
          <w:sz w:val="24"/>
          <w:szCs w:val="24"/>
        </w:rPr>
        <w:t>Demographic data and asthma-related healthcare use in Korea</w:t>
      </w:r>
      <w:r w:rsidRPr="00BA5166">
        <w:rPr>
          <w:rFonts w:ascii="Times New Roman" w:hAnsi="Times New Roman"/>
          <w:color w:val="000000" w:themeColor="text1"/>
          <w:sz w:val="24"/>
          <w:szCs w:val="24"/>
        </w:rPr>
        <w:t xml:space="preserve">: NHI claims data </w:t>
      </w:r>
      <w:r w:rsidRPr="00BA5166">
        <w:rPr>
          <w:rFonts w:ascii="Times New Roman"/>
          <w:color w:val="000000" w:themeColor="text1"/>
          <w:sz w:val="24"/>
        </w:rPr>
        <w:t>(adapted from the reference 15)</w:t>
      </w:r>
    </w:p>
    <w:tbl>
      <w:tblPr>
        <w:tblpPr w:leftFromText="142" w:rightFromText="142" w:vertAnchor="text" w:horzAnchor="margin" w:tblpY="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134"/>
        <w:gridCol w:w="992"/>
        <w:gridCol w:w="1134"/>
        <w:gridCol w:w="1276"/>
        <w:gridCol w:w="1134"/>
        <w:gridCol w:w="1134"/>
        <w:gridCol w:w="1134"/>
        <w:gridCol w:w="1134"/>
        <w:gridCol w:w="1231"/>
        <w:gridCol w:w="1179"/>
      </w:tblGrid>
      <w:tr w:rsidR="00BA5166" w:rsidRPr="00BA5166" w:rsidTr="005D1006">
        <w:trPr>
          <w:trHeight w:val="248"/>
        </w:trPr>
        <w:tc>
          <w:tcPr>
            <w:tcW w:w="26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</w:p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sz w:val="16"/>
              </w:rPr>
              <w:t>2006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sz w:val="16"/>
              </w:rPr>
              <w:t>2007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sz w:val="16"/>
              </w:rPr>
              <w:t>2008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sz w:val="16"/>
              </w:rPr>
              <w:t>2009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sz w:val="16"/>
              </w:rPr>
              <w:t>2010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%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%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%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%</w:t>
            </w: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</w:t>
            </w:r>
          </w:p>
        </w:tc>
        <w:tc>
          <w:tcPr>
            <w:tcW w:w="11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%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>Total N. of population included in the NHI database (Age ≥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38,288,695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38,849,158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39,349,430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39,889,189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40,435,086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Cs/>
                <w:color w:val="000000" w:themeColor="text1"/>
                <w:sz w:val="16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18,974,476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19,258,584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19,518,883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19,795,167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20,075,632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Cs/>
                <w:color w:val="000000" w:themeColor="text1"/>
                <w:sz w:val="16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19,314,219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19,590,571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19,830,547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20,094,022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20,359,454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>Total subjects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1,892,953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1,956,491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2,037,322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2,160,255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100%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2,307,581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100%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>Gender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Cs/>
                <w:color w:val="000000" w:themeColor="text1"/>
                <w:sz w:val="16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713,146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37.7%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744,034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38.0%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779,733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38.3%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824,460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38.2%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892,309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38.7%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Cs/>
                <w:color w:val="000000" w:themeColor="text1"/>
                <w:sz w:val="16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1,179,807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62.3%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1,212,457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62.0%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1,257,589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61.7%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1,335,795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61.8%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1,415,272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61.3%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 xml:space="preserve">Age </w:t>
            </w:r>
            <w:r w:rsidRPr="00BA5166">
              <w:rPr>
                <w:rFonts w:ascii="Times New Roman" w:hAnsi="Times New Roman" w:hint="default"/>
                <w:bCs/>
                <w:color w:val="000000" w:themeColor="text1"/>
                <w:sz w:val="16"/>
              </w:rPr>
              <w:t>(mean ± SD)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51.69 ± 18.70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51.82 ± 20.30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52.86 ± 30.33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51.95 ± 19.94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51.81 ± 19.52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>Insurance type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Cs/>
                <w:color w:val="000000" w:themeColor="text1"/>
                <w:sz w:val="16"/>
              </w:rPr>
              <w:t>Health Insurance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1,755,826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92.8%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1,817,128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92.9%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1,892,781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92.9%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2,014,674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93.3%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2,162,462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93.7%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Cs/>
                <w:color w:val="000000" w:themeColor="text1"/>
                <w:sz w:val="16"/>
              </w:rPr>
              <w:t>Medical Aid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137,127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7.2%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139,363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7.1%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144,541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7.1%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145,581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6.7%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145,119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6.3%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 xml:space="preserve">Outpatient visits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ind w:leftChars="-150" w:left="-220" w:hangingChars="50" w:hanging="80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35,585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40,373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46,058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47,632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2.2%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51,558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2.2%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1,857,368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98.1%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1,916,118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1,991,264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2,112,623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97.8%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2,256,023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97.8%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(Mean ± SD)</w:t>
            </w:r>
            <w:r w:rsidRPr="00BA5166">
              <w:rPr>
                <w:rFonts w:ascii="Times New Roman" w:hAnsi="Times New Roman" w:hint="default"/>
                <w:color w:val="000000" w:themeColor="text1"/>
                <w:sz w:val="16"/>
                <w:vertAlign w:val="superscript"/>
              </w:rPr>
              <w:t>#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4.82 ± 8.02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4.17 ± 6.71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3.62 ± 5.90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3.55 ± 5.73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3.44 ± 5.50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 xml:space="preserve">Hospitalizations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1,838,326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1,896,721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96.9%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1,971,858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96.8%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2,094,510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97.0%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2,237,816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97.0%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54,627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59,770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65,464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65,745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3.0%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69,765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3.0%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(Mean ± SD)</w:t>
            </w:r>
            <w:r w:rsidRPr="00BA5166">
              <w:rPr>
                <w:rFonts w:ascii="Times New Roman" w:hAnsi="Times New Roman" w:hint="default"/>
                <w:color w:val="000000" w:themeColor="text1"/>
                <w:sz w:val="16"/>
                <w:vertAlign w:val="superscript"/>
              </w:rPr>
              <w:t>#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1.6 ± 1.38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1.62 ± 1.44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1.57 ± 1.3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1.57 ± 1.34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1.57 ± 1.32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sz w:val="16"/>
              </w:rPr>
              <w:t xml:space="preserve">Hospitalization days </w:t>
            </w: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(Mean ± SD)</w:t>
            </w:r>
            <w:r w:rsidRPr="00BA5166">
              <w:rPr>
                <w:rFonts w:ascii="Times New Roman" w:hAnsi="Times New Roman" w:hint="default"/>
                <w:color w:val="000000" w:themeColor="text1"/>
                <w:sz w:val="16"/>
                <w:vertAlign w:val="superscript"/>
              </w:rPr>
              <w:t>#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per person per year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21.36 ± 31.04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21.71 ± 32.76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20.42 ± 27.75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19.66 ± 26.95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19.26 ± 25.90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per each admission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13.34 ± 20.75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13.38 ± 21.92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13.03 ± 18.45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12.54 ± 17.98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12.30 ± 17.13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>ICU hospitalizations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1,884,200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99.54%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1,947,100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99.52%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2,027,305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99.51%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2,150,661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99.56%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2,297,479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99.56%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8,753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0.46%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9,391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0.48%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10,017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0.49%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9,594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0.44%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10,102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0.44%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(</w:t>
            </w:r>
            <w:proofErr w:type="spellStart"/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Mean±SD</w:t>
            </w:r>
            <w:proofErr w:type="spellEnd"/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)</w:t>
            </w:r>
            <w:r w:rsidRPr="00BA5166">
              <w:rPr>
                <w:rFonts w:ascii="Times New Roman" w:hAnsi="Times New Roman" w:hint="default"/>
                <w:color w:val="000000" w:themeColor="text1"/>
                <w:sz w:val="16"/>
                <w:vertAlign w:val="superscript"/>
              </w:rPr>
              <w:t>#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1.00 ± 0.0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1.00 ± 0.0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1.00 ± 0.0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1.00 ± 0.0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1.00 ± 0.0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 xml:space="preserve">Emergency dept. visits*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1,850,196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1,825,258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1,988,450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2,109,073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97.6%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2,253,988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97.7%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42,757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45,068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48,872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51,182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2.4%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53,593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2.3%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(</w:t>
            </w:r>
            <w:proofErr w:type="spellStart"/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Mean±SD</w:t>
            </w:r>
            <w:proofErr w:type="spellEnd"/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)</w:t>
            </w:r>
            <w:r w:rsidRPr="00BA5166">
              <w:rPr>
                <w:rFonts w:ascii="Times New Roman" w:hAnsi="Times New Roman" w:hint="default"/>
                <w:color w:val="000000" w:themeColor="text1"/>
                <w:sz w:val="16"/>
                <w:vertAlign w:val="superscript"/>
              </w:rPr>
              <w:t>#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 xml:space="preserve">1.43 ± 1.12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 xml:space="preserve">1.48 ± 0.95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 xml:space="preserve">1.51± 0.81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 xml:space="preserve">1.43 ±  1.41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1.47 ± 1.06</w:t>
            </w:r>
          </w:p>
        </w:tc>
      </w:tr>
      <w:tr w:rsidR="00BA5166" w:rsidRPr="00BA5166" w:rsidTr="005D1006">
        <w:trPr>
          <w:trHeight w:val="24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b/>
                <w:bCs/>
                <w:color w:val="000000" w:themeColor="text1"/>
                <w:sz w:val="16"/>
              </w:rPr>
              <w:t>Pulmonary function tests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1,685,933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89.1%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1,737,171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88.8%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1,815,571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89.1%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1,926,474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89.2%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2,077,226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90.0%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207,020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219,320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11.2%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221,751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233,781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10.8%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230,355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10.0%</w:t>
            </w:r>
          </w:p>
        </w:tc>
      </w:tr>
      <w:tr w:rsidR="00BA5166" w:rsidRPr="00BA5166" w:rsidTr="005D1006">
        <w:trPr>
          <w:trHeight w:val="248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(</w:t>
            </w:r>
            <w:proofErr w:type="spellStart"/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Mean±SD</w:t>
            </w:r>
            <w:proofErr w:type="spellEnd"/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)</w:t>
            </w:r>
            <w:r w:rsidRPr="00BA5166">
              <w:rPr>
                <w:rFonts w:ascii="Times New Roman" w:hAnsi="Times New Roman" w:hint="default"/>
                <w:color w:val="000000" w:themeColor="text1"/>
                <w:sz w:val="16"/>
                <w:vertAlign w:val="superscript"/>
              </w:rPr>
              <w:t>#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1.28 ± 0.99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1.28 ± 0.99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1.28 ± 0.99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1.27 ± 0.91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772D" w:rsidRPr="00BA5166" w:rsidRDefault="0091772D" w:rsidP="005D1006">
            <w:pPr>
              <w:wordWrap/>
              <w:snapToGrid w:val="0"/>
              <w:spacing w:line="360" w:lineRule="auto"/>
              <w:contextualSpacing/>
              <w:jc w:val="right"/>
              <w:rPr>
                <w:rFonts w:ascii="Times New Roman" w:hAnsi="Times New Roman" w:hint="default"/>
                <w:color w:val="000000" w:themeColor="text1"/>
                <w:sz w:val="16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sz w:val="16"/>
              </w:rPr>
              <w:t>1.27 ± 0.89</w:t>
            </w:r>
          </w:p>
        </w:tc>
      </w:tr>
    </w:tbl>
    <w:p w:rsidR="0091772D" w:rsidRPr="00BA5166" w:rsidRDefault="0091772D" w:rsidP="0091772D">
      <w:pPr>
        <w:widowControl/>
        <w:wordWrap/>
        <w:autoSpaceDE/>
        <w:autoSpaceDN/>
        <w:snapToGrid w:val="0"/>
        <w:spacing w:line="360" w:lineRule="auto"/>
        <w:contextualSpacing/>
        <w:rPr>
          <w:rFonts w:ascii="Times New Roman" w:hAnsi="Times New Roman" w:hint="default"/>
          <w:color w:val="000000" w:themeColor="text1"/>
          <w:szCs w:val="20"/>
        </w:rPr>
      </w:pPr>
      <w:r w:rsidRPr="00BA5166">
        <w:rPr>
          <w:rFonts w:ascii="Times New Roman" w:hAnsi="Times New Roman" w:hint="default"/>
          <w:color w:val="000000" w:themeColor="text1"/>
          <w:szCs w:val="20"/>
        </w:rPr>
        <w:t xml:space="preserve">* </w:t>
      </w:r>
      <w:proofErr w:type="gramStart"/>
      <w:r w:rsidRPr="00BA5166">
        <w:rPr>
          <w:rFonts w:ascii="Times New Roman" w:hAnsi="Times New Roman" w:hint="default"/>
          <w:color w:val="000000" w:themeColor="text1"/>
          <w:szCs w:val="20"/>
        </w:rPr>
        <w:t>the</w:t>
      </w:r>
      <w:proofErr w:type="gramEnd"/>
      <w:r w:rsidRPr="00BA5166">
        <w:rPr>
          <w:rFonts w:ascii="Times New Roman" w:hAnsi="Times New Roman" w:hint="default"/>
          <w:color w:val="000000" w:themeColor="text1"/>
          <w:szCs w:val="20"/>
        </w:rPr>
        <w:t xml:space="preserve"> number of patients who have been treated in an emergency department due to asthma exacerbation without admission at least once</w:t>
      </w:r>
    </w:p>
    <w:p w:rsidR="0091772D" w:rsidRPr="00BA5166" w:rsidRDefault="0091772D" w:rsidP="0091772D">
      <w:pPr>
        <w:widowControl/>
        <w:wordWrap/>
        <w:autoSpaceDE/>
        <w:autoSpaceDN/>
        <w:snapToGrid w:val="0"/>
        <w:spacing w:line="360" w:lineRule="auto"/>
        <w:contextualSpacing/>
        <w:rPr>
          <w:rFonts w:ascii="Times New Roman" w:hAnsi="Times New Roman" w:hint="default"/>
          <w:color w:val="000000" w:themeColor="text1"/>
          <w:szCs w:val="20"/>
        </w:rPr>
      </w:pPr>
      <w:r w:rsidRPr="00BA5166">
        <w:rPr>
          <w:rFonts w:ascii="Times New Roman" w:hAnsi="Times New Roman" w:hint="default"/>
          <w:color w:val="000000" w:themeColor="text1"/>
          <w:szCs w:val="20"/>
          <w:vertAlign w:val="superscript"/>
        </w:rPr>
        <w:t>#</w:t>
      </w:r>
      <w:r w:rsidRPr="00BA5166">
        <w:rPr>
          <w:rFonts w:ascii="Times New Roman" w:hAnsi="Times New Roman" w:hint="default"/>
          <w:color w:val="000000" w:themeColor="text1"/>
          <w:szCs w:val="20"/>
        </w:rPr>
        <w:t xml:space="preserve"> </w:t>
      </w:r>
      <w:proofErr w:type="gramStart"/>
      <w:r w:rsidRPr="00BA5166">
        <w:rPr>
          <w:rFonts w:ascii="Times New Roman" w:hAnsi="Times New Roman" w:hint="default"/>
          <w:color w:val="000000" w:themeColor="text1"/>
          <w:szCs w:val="20"/>
        </w:rPr>
        <w:t>the</w:t>
      </w:r>
      <w:proofErr w:type="gramEnd"/>
      <w:r w:rsidRPr="00BA5166">
        <w:rPr>
          <w:rFonts w:ascii="Times New Roman" w:hAnsi="Times New Roman" w:hint="default"/>
          <w:color w:val="000000" w:themeColor="text1"/>
          <w:szCs w:val="20"/>
        </w:rPr>
        <w:t xml:space="preserve"> mean values of subjects who experienced at least one event</w:t>
      </w:r>
    </w:p>
    <w:p w:rsidR="0091772D" w:rsidRPr="00BA5166" w:rsidRDefault="0091772D" w:rsidP="0091772D">
      <w:pPr>
        <w:rPr>
          <w:rFonts w:hint="default"/>
          <w:color w:val="000000" w:themeColor="text1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91772D" w:rsidRPr="00BA5166" w:rsidRDefault="0091772D" w:rsidP="00F475E5">
      <w:pPr>
        <w:wordWrap/>
        <w:autoSpaceDE/>
        <w:snapToGrid w:val="0"/>
        <w:spacing w:line="480" w:lineRule="auto"/>
        <w:jc w:val="left"/>
        <w:rPr>
          <w:rFonts w:ascii="Times New Roman" w:hAnsi="Times New Roman" w:hint="default"/>
          <w:bCs/>
          <w:color w:val="000000" w:themeColor="text1"/>
          <w:kern w:val="0"/>
          <w:sz w:val="24"/>
          <w:szCs w:val="24"/>
        </w:rPr>
      </w:pPr>
    </w:p>
    <w:p w:rsidR="00F475E5" w:rsidRPr="00BA5166" w:rsidRDefault="00F475E5" w:rsidP="00F475E5">
      <w:pPr>
        <w:wordWrap/>
        <w:autoSpaceDE/>
        <w:snapToGrid w:val="0"/>
        <w:spacing w:line="480" w:lineRule="auto"/>
        <w:jc w:val="left"/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</w:pPr>
      <w:r w:rsidRPr="00BA5166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lastRenderedPageBreak/>
        <w:t xml:space="preserve">Table </w:t>
      </w:r>
      <w:r w:rsidR="00BA5166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S</w:t>
      </w:r>
      <w:r w:rsidR="0091772D" w:rsidRPr="00BA5166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3</w:t>
      </w:r>
      <w:r w:rsidRPr="00BA5166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 Overall asthma-related healthcare use during the index period</w:t>
      </w:r>
    </w:p>
    <w:tbl>
      <w:tblPr>
        <w:tblW w:w="4219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5"/>
        <w:gridCol w:w="1253"/>
        <w:gridCol w:w="1209"/>
        <w:gridCol w:w="2034"/>
        <w:gridCol w:w="1590"/>
        <w:gridCol w:w="980"/>
        <w:gridCol w:w="1081"/>
        <w:gridCol w:w="671"/>
        <w:gridCol w:w="842"/>
      </w:tblGrid>
      <w:tr w:rsidR="00BA5166" w:rsidRPr="00BA5166" w:rsidTr="008D34D9">
        <w:trPr>
          <w:trHeight w:val="420"/>
        </w:trPr>
        <w:tc>
          <w:tcPr>
            <w:tcW w:w="7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Patterns of usage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Index period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Number </w:t>
            </w: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of patients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Total number of visits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Per person visits</w:t>
            </w: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 xml:space="preserve">(mean </w:t>
            </w: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SD)</w:t>
            </w:r>
          </w:p>
        </w:tc>
        <w:tc>
          <w:tcPr>
            <w:tcW w:w="159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Number of visits by </w:t>
            </w: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br/>
              <w:t>the type of medical institution</w:t>
            </w:r>
          </w:p>
        </w:tc>
      </w:tr>
      <w:tr w:rsidR="00BA5166" w:rsidRPr="00BA5166" w:rsidTr="008D34D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A5166" w:rsidRPr="00BA5166" w:rsidTr="008D34D9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Primary and secondary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Tertiary</w:t>
            </w:r>
          </w:p>
        </w:tc>
      </w:tr>
      <w:tr w:rsidR="00BA5166" w:rsidRPr="00BA5166" w:rsidTr="008D34D9">
        <w:trPr>
          <w:trHeight w:val="240"/>
        </w:trPr>
        <w:tc>
          <w:tcPr>
            <w:tcW w:w="743" w:type="pct"/>
            <w:vMerge w:val="restart"/>
            <w:noWrap/>
            <w:vAlign w:val="center"/>
            <w:hideMark/>
          </w:tcPr>
          <w:p w:rsidR="00F475E5" w:rsidRPr="00BA5166" w:rsidRDefault="00F475E5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Outpatient visits</w:t>
            </w: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st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725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4,686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6.5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3.6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829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17.7%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3,857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82.3%</w:t>
            </w:r>
          </w:p>
        </w:tc>
      </w:tr>
      <w:tr w:rsidR="00BA5166" w:rsidRPr="00BA5166" w:rsidTr="008D34D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475E5" w:rsidRPr="00BA5166" w:rsidRDefault="00F475E5" w:rsidP="00527D7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nd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633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3,746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5.9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4.4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1,234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32.9%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2,512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67.1%</w:t>
            </w:r>
          </w:p>
        </w:tc>
      </w:tr>
      <w:tr w:rsidR="00BA5166" w:rsidRPr="00BA5166" w:rsidTr="008D34D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475E5" w:rsidRPr="00BA5166" w:rsidRDefault="00F475E5" w:rsidP="00527D7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rd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596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3,575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6.0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4.6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1,381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38.6%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2,194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61.4%</w:t>
            </w:r>
          </w:p>
        </w:tc>
      </w:tr>
      <w:tr w:rsidR="00BA5166" w:rsidRPr="00BA5166" w:rsidTr="008D34D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475E5" w:rsidRPr="00BA5166" w:rsidRDefault="00F475E5" w:rsidP="00527D7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Total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736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12,007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16.3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11.3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3,444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28.7%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8,563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71.3%</w:t>
            </w:r>
          </w:p>
        </w:tc>
      </w:tr>
      <w:tr w:rsidR="00BA5166" w:rsidRPr="00BA5166" w:rsidTr="008D34D9">
        <w:trPr>
          <w:trHeight w:val="240"/>
        </w:trPr>
        <w:tc>
          <w:tcPr>
            <w:tcW w:w="743" w:type="pct"/>
            <w:vMerge w:val="restart"/>
            <w:noWrap/>
            <w:vAlign w:val="center"/>
            <w:hideMark/>
          </w:tcPr>
          <w:p w:rsidR="00F475E5" w:rsidRPr="00BA5166" w:rsidRDefault="00F475E5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Hospitalizations</w:t>
            </w: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st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34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50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1.5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1.0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2.0%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49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98.0%</w:t>
            </w:r>
          </w:p>
        </w:tc>
      </w:tr>
      <w:tr w:rsidR="00BA5166" w:rsidRPr="00BA5166" w:rsidTr="008D34D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475E5" w:rsidRPr="00BA5166" w:rsidRDefault="00F475E5" w:rsidP="00527D7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nd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32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33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1.1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0.2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6.1%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31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93.9%</w:t>
            </w:r>
          </w:p>
        </w:tc>
      </w:tr>
      <w:tr w:rsidR="00BA5166" w:rsidRPr="00BA5166" w:rsidTr="008D34D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475E5" w:rsidRPr="00BA5166" w:rsidRDefault="00F475E5" w:rsidP="00527D7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rd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28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33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1.2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0.4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18.2%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27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81.8%</w:t>
            </w:r>
          </w:p>
        </w:tc>
      </w:tr>
      <w:tr w:rsidR="00BA5166" w:rsidRPr="00BA5166" w:rsidTr="008D34D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475E5" w:rsidRPr="00BA5166" w:rsidRDefault="00F475E5" w:rsidP="00527D7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Total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77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116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1.5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1.0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7.8%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107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92.2%</w:t>
            </w:r>
          </w:p>
        </w:tc>
      </w:tr>
      <w:tr w:rsidR="00BA5166" w:rsidRPr="00BA5166" w:rsidTr="008D34D9">
        <w:trPr>
          <w:trHeight w:val="240"/>
        </w:trPr>
        <w:tc>
          <w:tcPr>
            <w:tcW w:w="7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27D73" w:rsidRPr="00BA5166" w:rsidRDefault="00F475E5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Emergency department visits</w:t>
            </w: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  <w:p w:rsidR="00527D73" w:rsidRPr="00BA5166" w:rsidRDefault="00527D73" w:rsidP="00527D73">
            <w:pPr>
              <w:widowControl/>
              <w:wordWrap/>
              <w:autoSpaceDE/>
              <w:snapToGrid w:val="0"/>
              <w:spacing w:line="480" w:lineRule="auto"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st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26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1.5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1.0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0.0%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26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100.0%</w:t>
            </w:r>
          </w:p>
        </w:tc>
      </w:tr>
      <w:tr w:rsidR="00BA5166" w:rsidRPr="00BA5166" w:rsidTr="008D34D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nd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1.2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0.6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0.0%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100.0%</w:t>
            </w:r>
          </w:p>
        </w:tc>
      </w:tr>
      <w:tr w:rsidR="00BA5166" w:rsidRPr="00BA5166" w:rsidTr="008D34D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rd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53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  <w:tc>
          <w:tcPr>
            <w:tcW w:w="88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23</w:t>
            </w:r>
          </w:p>
        </w:tc>
        <w:tc>
          <w:tcPr>
            <w:tcW w:w="69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1.1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0.3</w:t>
            </w:r>
          </w:p>
        </w:tc>
        <w:tc>
          <w:tcPr>
            <w:tcW w:w="435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478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8.7%</w:t>
            </w:r>
          </w:p>
        </w:tc>
        <w:tc>
          <w:tcPr>
            <w:tcW w:w="303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377" w:type="pct"/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91.3%</w:t>
            </w:r>
          </w:p>
        </w:tc>
      </w:tr>
      <w:tr w:rsidR="00BA5166" w:rsidRPr="00BA5166" w:rsidTr="008D34D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5E5" w:rsidRPr="00BA5166" w:rsidRDefault="00F475E5" w:rsidP="00CF14BB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63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1.6 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±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1.1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3.2%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5E5" w:rsidRPr="00BA5166" w:rsidRDefault="00F475E5" w:rsidP="00CF14BB">
            <w:pPr>
              <w:widowControl/>
              <w:wordWrap/>
              <w:autoSpaceDE/>
              <w:snapToGrid w:val="0"/>
              <w:spacing w:line="480" w:lineRule="auto"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6"/>
                <w:szCs w:val="16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96.8%</w:t>
            </w:r>
          </w:p>
        </w:tc>
      </w:tr>
    </w:tbl>
    <w:p w:rsidR="008D34D9" w:rsidRPr="00BA5166" w:rsidRDefault="008D34D9" w:rsidP="008D34D9">
      <w:pPr>
        <w:pageBreakBefore/>
        <w:wordWrap/>
        <w:autoSpaceDE/>
        <w:snapToGrid w:val="0"/>
        <w:spacing w:line="480" w:lineRule="auto"/>
        <w:contextualSpacing/>
        <w:jc w:val="left"/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</w:pPr>
      <w:r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lastRenderedPageBreak/>
        <w:t>Table</w:t>
      </w:r>
      <w:r w:rsid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 S</w:t>
      </w:r>
      <w:r w:rsidR="0091772D"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4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 xml:space="preserve"> Asthma-related healthcare u</w:t>
      </w:r>
      <w:r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se 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 xml:space="preserve">according to baseline </w:t>
      </w:r>
      <w:r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clinical 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>characteristics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4"/>
        <w:gridCol w:w="531"/>
        <w:gridCol w:w="548"/>
        <w:gridCol w:w="427"/>
        <w:gridCol w:w="370"/>
        <w:gridCol w:w="475"/>
        <w:gridCol w:w="548"/>
        <w:gridCol w:w="427"/>
        <w:gridCol w:w="324"/>
        <w:gridCol w:w="419"/>
        <w:gridCol w:w="515"/>
        <w:gridCol w:w="524"/>
        <w:gridCol w:w="548"/>
        <w:gridCol w:w="427"/>
        <w:gridCol w:w="324"/>
        <w:gridCol w:w="419"/>
        <w:gridCol w:w="427"/>
        <w:gridCol w:w="370"/>
        <w:gridCol w:w="419"/>
        <w:gridCol w:w="515"/>
        <w:gridCol w:w="475"/>
        <w:gridCol w:w="548"/>
        <w:gridCol w:w="427"/>
        <w:gridCol w:w="419"/>
        <w:gridCol w:w="475"/>
        <w:gridCol w:w="515"/>
        <w:gridCol w:w="475"/>
      </w:tblGrid>
      <w:tr w:rsidR="00BA5166" w:rsidRPr="00BA5166" w:rsidTr="00CF14BB">
        <w:trPr>
          <w:trHeight w:val="240"/>
        </w:trPr>
        <w:tc>
          <w:tcPr>
            <w:tcW w:w="7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Variable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Total number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 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 (n = 736)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Outpatient visits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Emergency department visits</w:t>
            </w:r>
          </w:p>
        </w:tc>
        <w:tc>
          <w:tcPr>
            <w:tcW w:w="143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Hospitalizations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The use of systemic corticosteroids</w:t>
            </w:r>
          </w:p>
        </w:tc>
      </w:tr>
      <w:tr w:rsidR="00BA5166" w:rsidRPr="00BA5166" w:rsidTr="00CF14BB">
        <w:trPr>
          <w:trHeight w:val="855"/>
        </w:trPr>
        <w:tc>
          <w:tcPr>
            <w:tcW w:w="7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frequency of outpatient visits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frequency of emergency department visits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Presence 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emergency department visits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frequency of hospitalizations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cumulative duration (days) of hospitalizations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Presence of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hospitalizations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cumulative duration (days) of systemic steroids use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Presence of systemic steroids use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percent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8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percent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percent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Age (years)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0.341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0.245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0.912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0.016</w:t>
            </w:r>
          </w:p>
        </w:tc>
      </w:tr>
      <w:tr w:rsidR="00BA5166" w:rsidRPr="00BA5166" w:rsidTr="00CF14BB">
        <w:trPr>
          <w:trHeight w:val="19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6.2%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40.3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87.9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≥30 and &lt;60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38.1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297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77.3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149.8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7.3%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121.8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198.6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Sex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0.947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0.707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0.146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0.989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0.159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0.003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Male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334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99.9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178.9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66%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Female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5.7%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304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78.8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152.3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76%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proofErr w:type="spellStart"/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Atopy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0.938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0.697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0.121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0.749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0.099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Presence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4.6%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63.7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124.5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Absence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4.4%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68.6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133.4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BMI (kg/m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  <w:vertAlign w:val="superscript"/>
              </w:rPr>
              <w:t>2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 xml:space="preserve">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0.644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0.185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0.394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0.545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0.274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lastRenderedPageBreak/>
              <w:t>&lt;25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455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20.2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34.6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97.0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177.5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≥25 and &lt;30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76.4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149.1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70%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64.1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95.8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proofErr w:type="spellStart"/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Rhinosinusitis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0.358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0.111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0.036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0.138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0.308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Presence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454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454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319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74.4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145.5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70%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Absence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7.1%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110.1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189.3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74%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Presence of family history of allergic diseases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0.028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0.389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0.054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0.140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0.978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0.391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Presence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343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4.7%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249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82.6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154.7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Absence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393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393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6.1%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34.3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274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92.2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172.4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70%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Duration of asthma (years)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0.133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0.292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0.277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0.568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0.013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19.3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37.3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294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63.9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130.3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6.7%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122.3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199.1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76%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Smoking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0.247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0.764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0.049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0.764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0.264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0.007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Current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84.9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183.7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Ex-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4.6%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1.9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100.1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175.0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Non-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294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294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35.9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74.9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147.2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74%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lastRenderedPageBreak/>
              <w:t>Pack-years of smoking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0.790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0.650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0.984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0.770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0.520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&lt;10 and non-smokers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390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5.4%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33.6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69.4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137.1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6.3%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132.4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211.9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70%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History of exacerbation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0.338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0.892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F00CBE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/>
                <w:color w:val="000000" w:themeColor="text1"/>
                <w:kern w:val="0"/>
                <w:sz w:val="12"/>
                <w:szCs w:val="12"/>
              </w:rPr>
              <w:t>&lt;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</w:t>
            </w:r>
            <w:r w:rsidRPr="00BA5166">
              <w:rPr>
                <w:rFonts w:ascii="Times New Roman" w:hAnsi="Times New Roman"/>
                <w:color w:val="000000" w:themeColor="text1"/>
                <w:kern w:val="0"/>
                <w:sz w:val="12"/>
                <w:szCs w:val="12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0.213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Presence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98.1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166.9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80%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Absence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443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2.7%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290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79.9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162.7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65%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 xml:space="preserve">Blood </w:t>
            </w:r>
            <w:proofErr w:type="spellStart"/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eosinophils</w:t>
            </w:r>
            <w:proofErr w:type="spellEnd"/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 xml:space="preserve"> (% of total WBC)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0.391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0.794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0.109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0.098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0.046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0.292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367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367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6.0%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33.7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250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111.4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199.3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5.5%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78.5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137.9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 xml:space="preserve">Sputum </w:t>
            </w:r>
            <w:proofErr w:type="spellStart"/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eosinophils</w:t>
            </w:r>
            <w:proofErr w:type="spellEnd"/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 xml:space="preserve"> (% of total WBC)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0.566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0.937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0.550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0.354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0.647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0.961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26.4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125.1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218.5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5.6%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148.3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227.4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BDR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0.148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0.627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0.265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0.759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0.221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0.987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Positive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8.6%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159.4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226.8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Negative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364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364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5.5%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20.7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35.3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83.6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150.3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Initial FEV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  <w:vertAlign w:val="subscript"/>
              </w:rPr>
              <w:t>1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/FVC (%)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0.433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0.067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0.105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0.297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lastRenderedPageBreak/>
              <w:t>&lt;70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7.8%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27.9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141.2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213.7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≥70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478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478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4.4%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330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64.6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127.3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Initial FEV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  <w:vertAlign w:val="subscript"/>
              </w:rPr>
              <w:t>1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 xml:space="preserve"> (predicted %)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0.931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0.013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0.435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0.282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0.013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  <w:lang w:val="es-ES"/>
              </w:rPr>
              <w:t>&lt;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21.6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24.8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45.2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217.9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256.8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≥60 and &lt;80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94.7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157.8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397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397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268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46.5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94.7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68%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Initial severity of asthma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0.838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0.331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0.724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0.104</w:t>
            </w: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Mild intermittent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6.3%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49.6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62.1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69%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Mild persistent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72.1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132.9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Moderate persistent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321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4.4%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8,72%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58.9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120.5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73%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195"/>
        </w:trPr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Severe persistent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20.0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9.0%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20.2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37.5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146.1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225.0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75%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</w:tbl>
    <w:p w:rsidR="008D34D9" w:rsidRPr="00BA5166" w:rsidRDefault="008D34D9" w:rsidP="008D34D9">
      <w:pPr>
        <w:wordWrap/>
        <w:autoSpaceDE/>
        <w:snapToGrid w:val="0"/>
        <w:spacing w:line="480" w:lineRule="auto"/>
        <w:contextualSpacing/>
        <w:jc w:val="left"/>
        <w:rPr>
          <w:rFonts w:ascii="Times New Roman" w:hAnsi="Times New Roman" w:hint="default"/>
          <w:color w:val="000000" w:themeColor="text1"/>
          <w:kern w:val="0"/>
          <w:szCs w:val="20"/>
        </w:rPr>
      </w:pPr>
      <w:r w:rsidRPr="00BA5166">
        <w:rPr>
          <w:rFonts w:ascii="Times New Roman" w:hAnsi="Times New Roman" w:hint="default"/>
          <w:color w:val="000000" w:themeColor="text1"/>
          <w:kern w:val="0"/>
          <w:szCs w:val="20"/>
        </w:rPr>
        <w:t>Abbreviations: SD, standard deviation; WBC, white blood cell</w:t>
      </w:r>
    </w:p>
    <w:p w:rsidR="008D34D9" w:rsidRPr="00BA5166" w:rsidRDefault="008D34D9" w:rsidP="008D34D9">
      <w:pPr>
        <w:wordWrap/>
        <w:autoSpaceDE/>
        <w:snapToGrid w:val="0"/>
        <w:spacing w:line="480" w:lineRule="auto"/>
        <w:contextualSpacing/>
        <w:jc w:val="left"/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</w:pPr>
      <w:r w:rsidRPr="00BA5166">
        <w:rPr>
          <w:rFonts w:ascii="Times New Roman" w:hAnsi="Times New Roman" w:hint="default"/>
          <w:color w:val="000000" w:themeColor="text1"/>
          <w:kern w:val="0"/>
          <w:szCs w:val="20"/>
        </w:rPr>
        <w:t xml:space="preserve">P-values were determined with a chi-square test, Student's </w:t>
      </w:r>
      <w:r w:rsidRPr="00BA5166">
        <w:rPr>
          <w:rFonts w:ascii="Times New Roman" w:hAnsi="Times New Roman" w:hint="default"/>
          <w:i/>
          <w:color w:val="000000" w:themeColor="text1"/>
          <w:kern w:val="0"/>
          <w:szCs w:val="20"/>
        </w:rPr>
        <w:t>t</w:t>
      </w:r>
      <w:r w:rsidRPr="00BA5166">
        <w:rPr>
          <w:rFonts w:ascii="Times New Roman" w:hAnsi="Times New Roman" w:hint="default"/>
          <w:color w:val="000000" w:themeColor="text1"/>
          <w:kern w:val="0"/>
          <w:szCs w:val="20"/>
        </w:rPr>
        <w:t>-test, or ANOVA.</w:t>
      </w:r>
    </w:p>
    <w:p w:rsidR="008D34D9" w:rsidRPr="00BA5166" w:rsidRDefault="008D34D9" w:rsidP="008D34D9">
      <w:pPr>
        <w:wordWrap/>
        <w:autoSpaceDE/>
        <w:snapToGrid w:val="0"/>
        <w:spacing w:line="480" w:lineRule="auto"/>
        <w:contextualSpacing/>
        <w:jc w:val="left"/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</w:pPr>
      <w:r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T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 xml:space="preserve">able </w:t>
      </w:r>
      <w:r w:rsid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S</w:t>
      </w:r>
      <w:r w:rsidR="0091772D"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5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 xml:space="preserve"> Asthma-related healthcare u</w:t>
      </w:r>
      <w:r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se a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>ccording to clinical phenotypes</w:t>
      </w:r>
    </w:p>
    <w:tbl>
      <w:tblPr>
        <w:tblW w:w="485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7"/>
        <w:gridCol w:w="605"/>
        <w:gridCol w:w="625"/>
        <w:gridCol w:w="478"/>
        <w:gridCol w:w="408"/>
        <w:gridCol w:w="536"/>
        <w:gridCol w:w="625"/>
        <w:gridCol w:w="478"/>
        <w:gridCol w:w="352"/>
        <w:gridCol w:w="468"/>
        <w:gridCol w:w="585"/>
        <w:gridCol w:w="468"/>
        <w:gridCol w:w="625"/>
        <w:gridCol w:w="478"/>
        <w:gridCol w:w="352"/>
        <w:gridCol w:w="468"/>
        <w:gridCol w:w="478"/>
        <w:gridCol w:w="408"/>
        <w:gridCol w:w="468"/>
        <w:gridCol w:w="585"/>
        <w:gridCol w:w="468"/>
        <w:gridCol w:w="625"/>
        <w:gridCol w:w="478"/>
        <w:gridCol w:w="468"/>
        <w:gridCol w:w="536"/>
        <w:gridCol w:w="585"/>
        <w:gridCol w:w="468"/>
      </w:tblGrid>
      <w:tr w:rsidR="00BA5166" w:rsidRPr="00BA5166" w:rsidTr="00CF14BB">
        <w:trPr>
          <w:trHeight w:val="240"/>
        </w:trPr>
        <w:tc>
          <w:tcPr>
            <w:tcW w:w="48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Variable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Total number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 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 (n =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lastRenderedPageBreak/>
              <w:t>736)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lastRenderedPageBreak/>
              <w:t>Outpatient visits</w:t>
            </w:r>
          </w:p>
        </w:tc>
        <w:tc>
          <w:tcPr>
            <w:tcW w:w="103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Emergency department visits</w:t>
            </w:r>
          </w:p>
        </w:tc>
        <w:tc>
          <w:tcPr>
            <w:tcW w:w="151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Hospitalizations</w:t>
            </w: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The use of systemic corticosteroids</w:t>
            </w:r>
          </w:p>
        </w:tc>
      </w:tr>
      <w:tr w:rsidR="00BA5166" w:rsidRPr="00BA5166" w:rsidTr="00CF14BB">
        <w:trPr>
          <w:trHeight w:val="855"/>
        </w:trPr>
        <w:tc>
          <w:tcPr>
            <w:tcW w:w="48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frequency of outpatient visits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frequency of emergency department visits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Presence 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emergency department visits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frequency of hospitalizations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cumulative duration (days) of hospitalizations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Presence of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hospitalizations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cumulative duration (days) of systemic steroids use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Presence of systemic steroids use</w:t>
            </w: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9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percent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9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percent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percent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lastRenderedPageBreak/>
              <w:t>Airway reversibility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0.315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0.452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0.099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0.150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0.088</w:t>
            </w: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FAO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19.6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7.69%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19.5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13.19%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162.4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237.8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79.12%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RAO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565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4.07%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8.50%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398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69.3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135.8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70.44%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Treatability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0.124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0.076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0.742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0.001</w:t>
            </w: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Non-difficult-to-treat asthma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314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314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3.82%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8.92%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71.4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128.8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74.52%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Difficult-to-treat asthma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23.0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8.33%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20.00%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195.5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254.8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93.33%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Variability of ACT score (mean ± SD = 2.3 ± 1.7)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0.531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0.012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0.424</w:t>
            </w: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258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258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8.2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3.10%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6.98%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65.8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140.1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64.73%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≥2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261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261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20.3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6.13%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13.03%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105.7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171.6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86.97%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Compliance of all drugs (mean ± SD = 87.1 ± 18.7)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0.177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0.789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0.775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0.083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0.902</w:t>
            </w: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≤75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2.22%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5.93%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55.3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108.4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74.07%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&gt;75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427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427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4.92%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11.01%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314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101.8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176.2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73.54%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 xml:space="preserve">Compliance of 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lastRenderedPageBreak/>
              <w:t>inhalers (mean ± SD = 85.9 ± 21.8)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0.094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0.567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0.024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0.006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0.835</w:t>
            </w: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lastRenderedPageBreak/>
              <w:t>≤75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1.96%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5.23%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68.1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133.2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73.20%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&gt;75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405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5.19%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11.60%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300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99.4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173.4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74.07%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Clinical clusters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0.958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0.078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0.080</w:t>
            </w: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Cluster 1: smoking asthma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8.5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2.70%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24.5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8.11%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33.7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33.7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59.46%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Cluster 2: severe obstructive asthma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4.23%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15.49%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130.8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197.6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78.87%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Cluster 3: early-onset atopic asthma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3.81%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6.3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5.71%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37.2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38.9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61.90%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Cluster 4: late-onset mild asthma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4.72%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16.8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15.3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5.66%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31.7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53.3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67.92%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</w:tbl>
    <w:p w:rsidR="008D34D9" w:rsidRPr="00BA5166" w:rsidRDefault="008D34D9" w:rsidP="008D34D9">
      <w:pPr>
        <w:wordWrap/>
        <w:autoSpaceDE/>
        <w:snapToGrid w:val="0"/>
        <w:spacing w:line="480" w:lineRule="auto"/>
        <w:contextualSpacing/>
        <w:jc w:val="left"/>
        <w:rPr>
          <w:rFonts w:ascii="Times New Roman" w:hAnsi="Times New Roman" w:hint="default"/>
          <w:color w:val="000000" w:themeColor="text1"/>
          <w:kern w:val="0"/>
          <w:szCs w:val="20"/>
        </w:rPr>
      </w:pPr>
      <w:r w:rsidRPr="00BA5166">
        <w:rPr>
          <w:rFonts w:ascii="Times New Roman" w:hAnsi="Times New Roman" w:hint="default"/>
          <w:color w:val="000000" w:themeColor="text1"/>
          <w:kern w:val="0"/>
          <w:szCs w:val="20"/>
        </w:rPr>
        <w:t>Abbreviations: SD, standard deviation.</w:t>
      </w:r>
    </w:p>
    <w:p w:rsidR="008D34D9" w:rsidRPr="00BA5166" w:rsidRDefault="008D34D9" w:rsidP="008D34D9">
      <w:pPr>
        <w:wordWrap/>
        <w:autoSpaceDE/>
        <w:snapToGrid w:val="0"/>
        <w:spacing w:line="480" w:lineRule="auto"/>
        <w:contextualSpacing/>
        <w:jc w:val="left"/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</w:pPr>
      <w:r w:rsidRPr="00BA5166">
        <w:rPr>
          <w:rFonts w:ascii="Times New Roman" w:hAnsi="Times New Roman" w:hint="default"/>
          <w:color w:val="000000" w:themeColor="text1"/>
          <w:kern w:val="0"/>
          <w:szCs w:val="20"/>
        </w:rPr>
        <w:t xml:space="preserve">P-values were determined with a chi-square test, Student's </w:t>
      </w:r>
      <w:r w:rsidRPr="00BA5166">
        <w:rPr>
          <w:rFonts w:ascii="Times New Roman" w:hAnsi="Times New Roman" w:hint="default"/>
          <w:i/>
          <w:color w:val="000000" w:themeColor="text1"/>
          <w:kern w:val="0"/>
          <w:szCs w:val="20"/>
        </w:rPr>
        <w:t>t</w:t>
      </w:r>
      <w:r w:rsidRPr="00BA5166">
        <w:rPr>
          <w:rFonts w:ascii="Times New Roman" w:hAnsi="Times New Roman" w:hint="default"/>
          <w:color w:val="000000" w:themeColor="text1"/>
          <w:kern w:val="0"/>
          <w:szCs w:val="20"/>
        </w:rPr>
        <w:t>-test, or ANOVA.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br w:type="page"/>
      </w:r>
    </w:p>
    <w:p w:rsidR="008D34D9" w:rsidRPr="00BA5166" w:rsidRDefault="008D34D9" w:rsidP="008D34D9">
      <w:pPr>
        <w:wordWrap/>
        <w:autoSpaceDE/>
        <w:snapToGrid w:val="0"/>
        <w:spacing w:line="480" w:lineRule="auto"/>
        <w:contextualSpacing/>
        <w:jc w:val="left"/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lastRenderedPageBreak/>
        <w:t>T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 xml:space="preserve">able </w:t>
      </w:r>
      <w:r w:rsid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S</w:t>
      </w:r>
      <w:r w:rsidR="0091772D"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6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 xml:space="preserve"> Asthma-related healthcare u</w:t>
      </w:r>
      <w:r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>se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 xml:space="preserve"> according to </w:t>
      </w:r>
      <w:r w:rsidRPr="00BA5166">
        <w:rPr>
          <w:rFonts w:ascii="Times New Roman" w:eastAsia="바탕" w:hAnsi="Times New Roman"/>
          <w:color w:val="000000" w:themeColor="text1"/>
          <w:kern w:val="0"/>
          <w:sz w:val="24"/>
          <w:szCs w:val="24"/>
        </w:rPr>
        <w:t xml:space="preserve">adherence to </w:t>
      </w:r>
      <w:r w:rsidRPr="00BA5166">
        <w:rPr>
          <w:rFonts w:ascii="Times New Roman" w:eastAsia="바탕" w:hAnsi="Times New Roman" w:hint="default"/>
          <w:color w:val="000000" w:themeColor="text1"/>
          <w:kern w:val="0"/>
          <w:sz w:val="24"/>
          <w:szCs w:val="24"/>
        </w:rPr>
        <w:t>the cohort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3"/>
        <w:gridCol w:w="604"/>
        <w:gridCol w:w="623"/>
        <w:gridCol w:w="476"/>
        <w:gridCol w:w="407"/>
        <w:gridCol w:w="534"/>
        <w:gridCol w:w="622"/>
        <w:gridCol w:w="476"/>
        <w:gridCol w:w="351"/>
        <w:gridCol w:w="466"/>
        <w:gridCol w:w="583"/>
        <w:gridCol w:w="466"/>
        <w:gridCol w:w="622"/>
        <w:gridCol w:w="476"/>
        <w:gridCol w:w="351"/>
        <w:gridCol w:w="466"/>
        <w:gridCol w:w="476"/>
        <w:gridCol w:w="407"/>
        <w:gridCol w:w="466"/>
        <w:gridCol w:w="583"/>
        <w:gridCol w:w="466"/>
        <w:gridCol w:w="622"/>
        <w:gridCol w:w="476"/>
        <w:gridCol w:w="466"/>
        <w:gridCol w:w="466"/>
        <w:gridCol w:w="583"/>
        <w:gridCol w:w="534"/>
      </w:tblGrid>
      <w:tr w:rsidR="00BA5166" w:rsidRPr="00BA5166" w:rsidTr="00CF14BB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Variable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Total number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 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 (n = 736)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Outpatient visits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Emergency department visits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Hospitalizations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The use of systemic corticosteroids</w:t>
            </w:r>
          </w:p>
        </w:tc>
      </w:tr>
      <w:tr w:rsidR="00BA5166" w:rsidRPr="00BA5166" w:rsidTr="00CF14BB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frequency of outpatient visits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frequency of emergency department visits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Presence 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emergency visits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frequency of hospitalizations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cumulative duration (days) of hospitalizations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Presence of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hospitalizations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 xml:space="preserve">Number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 xml:space="preserve">of </w:t>
            </w: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br/>
              <w:t>patients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 capita cumulative duration (days) of systemic steroids use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Presence of systemic steroids use</w:t>
            </w: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b/>
                <w:color w:val="000000" w:themeColor="text1"/>
                <w:kern w:val="0"/>
                <w:sz w:val="12"/>
                <w:szCs w:val="12"/>
              </w:rPr>
              <w:t>p</w:t>
            </w: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Cohort tracking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Maintained in the cohort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Dropped out of cohort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Cohort tracking status in patients with FAO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0.542</w:t>
            </w: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Maintained in the cohort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Dropped out of cohort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 xml:space="preserve">Cohort tracking </w:t>
            </w: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lastRenderedPageBreak/>
              <w:t>status in patients with RAO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5C53E6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&lt;0.001</w:t>
            </w: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lastRenderedPageBreak/>
              <w:t>Maintained in the cohort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BA5166" w:rsidRPr="00BA5166" w:rsidTr="00CF14B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ind w:firstLine="142"/>
              <w:contextualSpacing/>
              <w:jc w:val="left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int="default"/>
                <w:color w:val="000000" w:themeColor="text1"/>
                <w:kern w:val="0"/>
                <w:sz w:val="12"/>
                <w:szCs w:val="12"/>
              </w:rPr>
              <w:t>Dropped out of cohort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136.7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  <w:r w:rsidRPr="00BA5166"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4D9" w:rsidRPr="00BA5166" w:rsidRDefault="008D34D9" w:rsidP="00CF14BB">
            <w:pPr>
              <w:widowControl/>
              <w:wordWrap/>
              <w:autoSpaceDE/>
              <w:autoSpaceDN/>
              <w:snapToGrid w:val="0"/>
              <w:spacing w:line="480" w:lineRule="auto"/>
              <w:contextualSpacing/>
              <w:jc w:val="center"/>
              <w:rPr>
                <w:rFonts w:ascii="Times New Roman" w:hAnsi="Times New Roman" w:hint="default"/>
                <w:color w:val="000000" w:themeColor="text1"/>
                <w:kern w:val="0"/>
                <w:sz w:val="12"/>
                <w:szCs w:val="12"/>
              </w:rPr>
            </w:pPr>
          </w:p>
        </w:tc>
      </w:tr>
    </w:tbl>
    <w:p w:rsidR="008D34D9" w:rsidRPr="00BA5166" w:rsidRDefault="008D34D9" w:rsidP="008D34D9">
      <w:pPr>
        <w:wordWrap/>
        <w:autoSpaceDE/>
        <w:snapToGrid w:val="0"/>
        <w:spacing w:line="480" w:lineRule="auto"/>
        <w:contextualSpacing/>
        <w:jc w:val="left"/>
        <w:rPr>
          <w:rFonts w:ascii="Times New Roman" w:hAnsi="Times New Roman" w:hint="default"/>
          <w:color w:val="000000" w:themeColor="text1"/>
          <w:kern w:val="0"/>
          <w:szCs w:val="20"/>
        </w:rPr>
      </w:pPr>
      <w:r w:rsidRPr="00BA5166">
        <w:rPr>
          <w:rFonts w:ascii="Times New Roman" w:hAnsi="Times New Roman" w:hint="default"/>
          <w:color w:val="000000" w:themeColor="text1"/>
          <w:kern w:val="0"/>
          <w:szCs w:val="20"/>
        </w:rPr>
        <w:t>Abbreviations: SD, standard deviation.</w:t>
      </w:r>
    </w:p>
    <w:p w:rsidR="008D34D9" w:rsidRPr="00BA5166" w:rsidRDefault="008D34D9" w:rsidP="0091772D">
      <w:pPr>
        <w:wordWrap/>
        <w:autoSpaceDE/>
        <w:snapToGrid w:val="0"/>
        <w:spacing w:line="480" w:lineRule="auto"/>
        <w:contextualSpacing/>
        <w:jc w:val="left"/>
        <w:rPr>
          <w:rFonts w:hint="default"/>
          <w:color w:val="000000" w:themeColor="text1"/>
        </w:rPr>
      </w:pPr>
      <w:r w:rsidRPr="00BA5166">
        <w:rPr>
          <w:rFonts w:ascii="Times New Roman" w:hAnsi="Times New Roman" w:hint="default"/>
          <w:color w:val="000000" w:themeColor="text1"/>
          <w:kern w:val="0"/>
          <w:szCs w:val="20"/>
        </w:rPr>
        <w:t xml:space="preserve">P-values were determined with a chi-square test or Student's </w:t>
      </w:r>
      <w:r w:rsidRPr="00BA5166">
        <w:rPr>
          <w:rFonts w:ascii="Times New Roman" w:hAnsi="Times New Roman" w:hint="default"/>
          <w:i/>
          <w:color w:val="000000" w:themeColor="text1"/>
          <w:kern w:val="0"/>
          <w:szCs w:val="20"/>
        </w:rPr>
        <w:t>t</w:t>
      </w:r>
      <w:r w:rsidRPr="00BA5166">
        <w:rPr>
          <w:rFonts w:ascii="Times New Roman" w:hAnsi="Times New Roman" w:hint="default"/>
          <w:color w:val="000000" w:themeColor="text1"/>
          <w:kern w:val="0"/>
          <w:szCs w:val="20"/>
        </w:rPr>
        <w:t>-t</w:t>
      </w:r>
      <w:r w:rsidR="005C53E6" w:rsidRPr="00BA5166">
        <w:rPr>
          <w:rFonts w:ascii="Times New Roman" w:hAnsi="Times New Roman"/>
          <w:color w:val="000000" w:themeColor="text1"/>
          <w:kern w:val="0"/>
          <w:szCs w:val="20"/>
        </w:rPr>
        <w:t>est</w:t>
      </w:r>
    </w:p>
    <w:sectPr w:rsidR="008D34D9" w:rsidRPr="00BA5166" w:rsidSect="008D34D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3B" w:rsidRDefault="00DC013B" w:rsidP="00527D73">
      <w:pPr>
        <w:rPr>
          <w:rFonts w:hint="default"/>
        </w:rPr>
      </w:pPr>
      <w:r>
        <w:separator/>
      </w:r>
    </w:p>
  </w:endnote>
  <w:endnote w:type="continuationSeparator" w:id="0">
    <w:p w:rsidR="00DC013B" w:rsidRDefault="00DC013B" w:rsidP="00527D7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3B" w:rsidRDefault="00DC013B" w:rsidP="00527D73">
      <w:pPr>
        <w:rPr>
          <w:rFonts w:hint="default"/>
        </w:rPr>
      </w:pPr>
      <w:r>
        <w:separator/>
      </w:r>
    </w:p>
  </w:footnote>
  <w:footnote w:type="continuationSeparator" w:id="0">
    <w:p w:rsidR="00DC013B" w:rsidRDefault="00DC013B" w:rsidP="00527D7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57"/>
    <w:multiLevelType w:val="hybridMultilevel"/>
    <w:tmpl w:val="9CB679FE"/>
    <w:lvl w:ilvl="0" w:tplc="ADB4544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850587"/>
    <w:multiLevelType w:val="hybridMultilevel"/>
    <w:tmpl w:val="67C20592"/>
    <w:lvl w:ilvl="0" w:tplc="25848E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4960D7"/>
    <w:multiLevelType w:val="multilevel"/>
    <w:tmpl w:val="E6A0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C58FB"/>
    <w:multiLevelType w:val="hybridMultilevel"/>
    <w:tmpl w:val="85D81686"/>
    <w:lvl w:ilvl="0" w:tplc="6D721A52">
      <w:start w:val="1"/>
      <w:numFmt w:val="upperLetter"/>
      <w:lvlText w:val="(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D714846"/>
    <w:multiLevelType w:val="hybridMultilevel"/>
    <w:tmpl w:val="0A9072EA"/>
    <w:lvl w:ilvl="0" w:tplc="D9A2BB0A">
      <w:start w:val="1"/>
      <w:numFmt w:val="upperLetter"/>
      <w:lvlText w:val="(%1)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>
    <w:nsid w:val="0FE62B51"/>
    <w:multiLevelType w:val="hybridMultilevel"/>
    <w:tmpl w:val="FE1C1554"/>
    <w:lvl w:ilvl="0" w:tplc="81DA225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8DDAC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0DBE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B1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2D97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619C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6803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C10B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8453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C0FA9"/>
    <w:multiLevelType w:val="hybridMultilevel"/>
    <w:tmpl w:val="DE7CE87A"/>
    <w:lvl w:ilvl="0" w:tplc="49D6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CE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09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67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09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48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0C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27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0699A"/>
    <w:multiLevelType w:val="hybridMultilevel"/>
    <w:tmpl w:val="9C8AF832"/>
    <w:lvl w:ilvl="0" w:tplc="1A489C38">
      <w:start w:val="6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F10C23"/>
    <w:multiLevelType w:val="hybridMultilevel"/>
    <w:tmpl w:val="2D2C5ABA"/>
    <w:lvl w:ilvl="0" w:tplc="4FEC605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8A07D1E"/>
    <w:multiLevelType w:val="multilevel"/>
    <w:tmpl w:val="6AB6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17518"/>
    <w:multiLevelType w:val="multilevel"/>
    <w:tmpl w:val="D61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A4EE4"/>
    <w:multiLevelType w:val="hybridMultilevel"/>
    <w:tmpl w:val="EE52514A"/>
    <w:lvl w:ilvl="0" w:tplc="FDE6F6A6">
      <w:start w:val="1"/>
      <w:numFmt w:val="upperLetter"/>
      <w:lvlText w:val="(%1)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CE952F8"/>
    <w:multiLevelType w:val="hybridMultilevel"/>
    <w:tmpl w:val="5AD2BFDA"/>
    <w:lvl w:ilvl="0" w:tplc="8D74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0BC52">
      <w:start w:val="12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E89AE">
      <w:start w:val="12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6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86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C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E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4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FB1EC9"/>
    <w:multiLevelType w:val="multilevel"/>
    <w:tmpl w:val="6B6E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E5"/>
    <w:rsid w:val="00065891"/>
    <w:rsid w:val="000C52EB"/>
    <w:rsid w:val="000E1415"/>
    <w:rsid w:val="001148D7"/>
    <w:rsid w:val="002B7BA3"/>
    <w:rsid w:val="0036230B"/>
    <w:rsid w:val="0039043A"/>
    <w:rsid w:val="00527D73"/>
    <w:rsid w:val="005C53E6"/>
    <w:rsid w:val="0063113A"/>
    <w:rsid w:val="00680B16"/>
    <w:rsid w:val="007B4DFE"/>
    <w:rsid w:val="008D34D9"/>
    <w:rsid w:val="0091772D"/>
    <w:rsid w:val="00BA5166"/>
    <w:rsid w:val="00CF14BB"/>
    <w:rsid w:val="00DC013B"/>
    <w:rsid w:val="00E20292"/>
    <w:rsid w:val="00F00CBE"/>
    <w:rsid w:val="00F475E5"/>
    <w:rsid w:val="00F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 w:hint="eastAsia"/>
    </w:rPr>
  </w:style>
  <w:style w:type="paragraph" w:styleId="1">
    <w:name w:val="heading 1"/>
    <w:basedOn w:val="a"/>
    <w:link w:val="1Char"/>
    <w:uiPriority w:val="9"/>
    <w:qFormat/>
    <w:rsid w:val="008D34D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 w:hint="default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34D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34D9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D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7D73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527D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7D73"/>
    <w:rPr>
      <w:rFonts w:ascii="맑은 고딕" w:eastAsia="맑은 고딕" w:hAnsi="맑은 고딕" w:cs="Times New Roman"/>
    </w:rPr>
  </w:style>
  <w:style w:type="character" w:customStyle="1" w:styleId="1Char">
    <w:name w:val="제목 1 Char"/>
    <w:basedOn w:val="a0"/>
    <w:link w:val="1"/>
    <w:uiPriority w:val="9"/>
    <w:rsid w:val="008D34D9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semiHidden/>
    <w:rsid w:val="008D34D9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8D34D9"/>
    <w:rPr>
      <w:rFonts w:ascii="맑은 고딕" w:eastAsia="맑은 고딕" w:hAnsi="맑은 고딕" w:cs="Times New Roman"/>
      <w:b/>
      <w:bCs/>
    </w:rPr>
  </w:style>
  <w:style w:type="character" w:styleId="a5">
    <w:name w:val="Hyperlink"/>
    <w:basedOn w:val="a0"/>
    <w:uiPriority w:val="99"/>
    <w:semiHidden/>
    <w:rsid w:val="008D34D9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D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D34D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8D34D9"/>
    <w:rPr>
      <w:color w:val="808080"/>
    </w:rPr>
  </w:style>
  <w:style w:type="paragraph" w:styleId="a8">
    <w:name w:val="List Paragraph"/>
    <w:basedOn w:val="a"/>
    <w:uiPriority w:val="34"/>
    <w:qFormat/>
    <w:rsid w:val="008D34D9"/>
    <w:pPr>
      <w:ind w:leftChars="400" w:left="800"/>
    </w:pPr>
  </w:style>
  <w:style w:type="paragraph" w:customStyle="1" w:styleId="a9">
    <w:name w:val="바탕글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character" w:customStyle="1" w:styleId="highlight">
    <w:name w:val="highlight"/>
    <w:basedOn w:val="a0"/>
    <w:rsid w:val="008D34D9"/>
  </w:style>
  <w:style w:type="paragraph" w:customStyle="1" w:styleId="10">
    <w:name w:val="제목1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paragraph" w:customStyle="1" w:styleId="desc">
    <w:name w:val="desc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paragraph" w:customStyle="1" w:styleId="details">
    <w:name w:val="details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character" w:customStyle="1" w:styleId="jrnl">
    <w:name w:val="jrnl"/>
    <w:basedOn w:val="a0"/>
    <w:rsid w:val="008D34D9"/>
  </w:style>
  <w:style w:type="paragraph" w:styleId="aa">
    <w:name w:val="Normal (Web)"/>
    <w:basedOn w:val="a"/>
    <w:uiPriority w:val="99"/>
    <w:semiHidden/>
    <w:unhideWhenUsed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D34D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8D34D9"/>
    <w:rPr>
      <w:b/>
      <w:bCs/>
    </w:rPr>
  </w:style>
  <w:style w:type="character" w:styleId="ad">
    <w:name w:val="Emphasis"/>
    <w:basedOn w:val="a0"/>
    <w:uiPriority w:val="20"/>
    <w:qFormat/>
    <w:rsid w:val="008D34D9"/>
    <w:rPr>
      <w:i/>
      <w:iCs/>
    </w:rPr>
  </w:style>
  <w:style w:type="character" w:styleId="ae">
    <w:name w:val="line number"/>
    <w:basedOn w:val="a0"/>
    <w:uiPriority w:val="99"/>
    <w:semiHidden/>
    <w:unhideWhenUsed/>
    <w:rsid w:val="008D34D9"/>
  </w:style>
  <w:style w:type="paragraph" w:customStyle="1" w:styleId="font5">
    <w:name w:val="font5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 w:hint="default"/>
      <w:kern w:val="0"/>
      <w:sz w:val="16"/>
      <w:szCs w:val="16"/>
    </w:rPr>
  </w:style>
  <w:style w:type="paragraph" w:customStyle="1" w:styleId="font6">
    <w:name w:val="font6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 w:hint="default"/>
      <w:color w:val="000000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 w:hint="default"/>
      <w:i/>
      <w:iCs/>
      <w:color w:val="000000"/>
      <w:kern w:val="0"/>
      <w:sz w:val="18"/>
      <w:szCs w:val="18"/>
    </w:rPr>
  </w:style>
  <w:style w:type="paragraph" w:customStyle="1" w:styleId="xl109">
    <w:name w:val="xl109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Cs w:val="20"/>
    </w:rPr>
  </w:style>
  <w:style w:type="paragraph" w:customStyle="1" w:styleId="xl110">
    <w:name w:val="xl110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Cs w:val="20"/>
    </w:rPr>
  </w:style>
  <w:style w:type="paragraph" w:customStyle="1" w:styleId="xl111">
    <w:name w:val="xl111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2">
    <w:name w:val="xl112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4">
    <w:name w:val="xl114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5">
    <w:name w:val="xl115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6">
    <w:name w:val="xl116"/>
    <w:basedOn w:val="a"/>
    <w:uiPriority w:val="99"/>
    <w:rsid w:val="008D34D9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7">
    <w:name w:val="xl117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8">
    <w:name w:val="xl118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9">
    <w:name w:val="xl119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0">
    <w:name w:val="xl120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1">
    <w:name w:val="xl121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2">
    <w:name w:val="xl122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3">
    <w:name w:val="xl123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4">
    <w:name w:val="xl124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5">
    <w:name w:val="xl125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6">
    <w:name w:val="xl126"/>
    <w:basedOn w:val="a"/>
    <w:uiPriority w:val="99"/>
    <w:rsid w:val="008D34D9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7">
    <w:name w:val="xl127"/>
    <w:basedOn w:val="a"/>
    <w:uiPriority w:val="99"/>
    <w:rsid w:val="008D34D9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8">
    <w:name w:val="xl128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9">
    <w:name w:val="xl129"/>
    <w:basedOn w:val="a"/>
    <w:uiPriority w:val="99"/>
    <w:rsid w:val="008D34D9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0">
    <w:name w:val="xl130"/>
    <w:basedOn w:val="a"/>
    <w:uiPriority w:val="99"/>
    <w:rsid w:val="008D34D9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1">
    <w:name w:val="xl131"/>
    <w:basedOn w:val="a"/>
    <w:uiPriority w:val="99"/>
    <w:rsid w:val="008D34D9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2">
    <w:name w:val="xl132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3">
    <w:name w:val="xl133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4">
    <w:name w:val="xl134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5">
    <w:name w:val="xl135"/>
    <w:basedOn w:val="a"/>
    <w:uiPriority w:val="99"/>
    <w:rsid w:val="008D34D9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Cs w:val="20"/>
    </w:rPr>
  </w:style>
  <w:style w:type="paragraph" w:customStyle="1" w:styleId="xl108">
    <w:name w:val="xl108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 w:hint="eastAsia"/>
    </w:rPr>
  </w:style>
  <w:style w:type="paragraph" w:styleId="1">
    <w:name w:val="heading 1"/>
    <w:basedOn w:val="a"/>
    <w:link w:val="1Char"/>
    <w:uiPriority w:val="9"/>
    <w:qFormat/>
    <w:rsid w:val="008D34D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 w:hint="default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34D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34D9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D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7D73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527D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7D73"/>
    <w:rPr>
      <w:rFonts w:ascii="맑은 고딕" w:eastAsia="맑은 고딕" w:hAnsi="맑은 고딕" w:cs="Times New Roman"/>
    </w:rPr>
  </w:style>
  <w:style w:type="character" w:customStyle="1" w:styleId="1Char">
    <w:name w:val="제목 1 Char"/>
    <w:basedOn w:val="a0"/>
    <w:link w:val="1"/>
    <w:uiPriority w:val="9"/>
    <w:rsid w:val="008D34D9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semiHidden/>
    <w:rsid w:val="008D34D9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8D34D9"/>
    <w:rPr>
      <w:rFonts w:ascii="맑은 고딕" w:eastAsia="맑은 고딕" w:hAnsi="맑은 고딕" w:cs="Times New Roman"/>
      <w:b/>
      <w:bCs/>
    </w:rPr>
  </w:style>
  <w:style w:type="character" w:styleId="a5">
    <w:name w:val="Hyperlink"/>
    <w:basedOn w:val="a0"/>
    <w:uiPriority w:val="99"/>
    <w:semiHidden/>
    <w:rsid w:val="008D34D9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D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D34D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8D34D9"/>
    <w:rPr>
      <w:color w:val="808080"/>
    </w:rPr>
  </w:style>
  <w:style w:type="paragraph" w:styleId="a8">
    <w:name w:val="List Paragraph"/>
    <w:basedOn w:val="a"/>
    <w:uiPriority w:val="34"/>
    <w:qFormat/>
    <w:rsid w:val="008D34D9"/>
    <w:pPr>
      <w:ind w:leftChars="400" w:left="800"/>
    </w:pPr>
  </w:style>
  <w:style w:type="paragraph" w:customStyle="1" w:styleId="a9">
    <w:name w:val="바탕글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character" w:customStyle="1" w:styleId="highlight">
    <w:name w:val="highlight"/>
    <w:basedOn w:val="a0"/>
    <w:rsid w:val="008D34D9"/>
  </w:style>
  <w:style w:type="paragraph" w:customStyle="1" w:styleId="10">
    <w:name w:val="제목1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paragraph" w:customStyle="1" w:styleId="desc">
    <w:name w:val="desc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paragraph" w:customStyle="1" w:styleId="details">
    <w:name w:val="details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character" w:customStyle="1" w:styleId="jrnl">
    <w:name w:val="jrnl"/>
    <w:basedOn w:val="a0"/>
    <w:rsid w:val="008D34D9"/>
  </w:style>
  <w:style w:type="paragraph" w:styleId="aa">
    <w:name w:val="Normal (Web)"/>
    <w:basedOn w:val="a"/>
    <w:uiPriority w:val="99"/>
    <w:semiHidden/>
    <w:unhideWhenUsed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D34D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8D34D9"/>
    <w:rPr>
      <w:b/>
      <w:bCs/>
    </w:rPr>
  </w:style>
  <w:style w:type="character" w:styleId="ad">
    <w:name w:val="Emphasis"/>
    <w:basedOn w:val="a0"/>
    <w:uiPriority w:val="20"/>
    <w:qFormat/>
    <w:rsid w:val="008D34D9"/>
    <w:rPr>
      <w:i/>
      <w:iCs/>
    </w:rPr>
  </w:style>
  <w:style w:type="character" w:styleId="ae">
    <w:name w:val="line number"/>
    <w:basedOn w:val="a0"/>
    <w:uiPriority w:val="99"/>
    <w:semiHidden/>
    <w:unhideWhenUsed/>
    <w:rsid w:val="008D34D9"/>
  </w:style>
  <w:style w:type="paragraph" w:customStyle="1" w:styleId="font5">
    <w:name w:val="font5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 w:hint="default"/>
      <w:kern w:val="0"/>
      <w:sz w:val="16"/>
      <w:szCs w:val="16"/>
    </w:rPr>
  </w:style>
  <w:style w:type="paragraph" w:customStyle="1" w:styleId="font6">
    <w:name w:val="font6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 w:hint="default"/>
      <w:color w:val="000000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 w:hint="default"/>
      <w:i/>
      <w:iCs/>
      <w:color w:val="000000"/>
      <w:kern w:val="0"/>
      <w:sz w:val="18"/>
      <w:szCs w:val="18"/>
    </w:rPr>
  </w:style>
  <w:style w:type="paragraph" w:customStyle="1" w:styleId="xl109">
    <w:name w:val="xl109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Cs w:val="20"/>
    </w:rPr>
  </w:style>
  <w:style w:type="paragraph" w:customStyle="1" w:styleId="xl110">
    <w:name w:val="xl110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Cs w:val="20"/>
    </w:rPr>
  </w:style>
  <w:style w:type="paragraph" w:customStyle="1" w:styleId="xl111">
    <w:name w:val="xl111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2">
    <w:name w:val="xl112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4">
    <w:name w:val="xl114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5">
    <w:name w:val="xl115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6">
    <w:name w:val="xl116"/>
    <w:basedOn w:val="a"/>
    <w:uiPriority w:val="99"/>
    <w:rsid w:val="008D34D9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7">
    <w:name w:val="xl117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8">
    <w:name w:val="xl118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19">
    <w:name w:val="xl119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0">
    <w:name w:val="xl120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1">
    <w:name w:val="xl121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2">
    <w:name w:val="xl122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3">
    <w:name w:val="xl123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4">
    <w:name w:val="xl124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5">
    <w:name w:val="xl125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6">
    <w:name w:val="xl126"/>
    <w:basedOn w:val="a"/>
    <w:uiPriority w:val="99"/>
    <w:rsid w:val="008D34D9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7">
    <w:name w:val="xl127"/>
    <w:basedOn w:val="a"/>
    <w:uiPriority w:val="99"/>
    <w:rsid w:val="008D34D9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8">
    <w:name w:val="xl128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29">
    <w:name w:val="xl129"/>
    <w:basedOn w:val="a"/>
    <w:uiPriority w:val="99"/>
    <w:rsid w:val="008D34D9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0">
    <w:name w:val="xl130"/>
    <w:basedOn w:val="a"/>
    <w:uiPriority w:val="99"/>
    <w:rsid w:val="008D34D9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1">
    <w:name w:val="xl131"/>
    <w:basedOn w:val="a"/>
    <w:uiPriority w:val="99"/>
    <w:rsid w:val="008D34D9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2">
    <w:name w:val="xl132"/>
    <w:basedOn w:val="a"/>
    <w:uiPriority w:val="99"/>
    <w:rsid w:val="008D34D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3">
    <w:name w:val="xl133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4">
    <w:name w:val="xl134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35">
    <w:name w:val="xl135"/>
    <w:basedOn w:val="a"/>
    <w:uiPriority w:val="99"/>
    <w:rsid w:val="008D34D9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Cs w:val="20"/>
    </w:rPr>
  </w:style>
  <w:style w:type="paragraph" w:customStyle="1" w:styleId="xl108">
    <w:name w:val="xl108"/>
    <w:basedOn w:val="a"/>
    <w:uiPriority w:val="99"/>
    <w:rsid w:val="008D34D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 w:hint="default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</dc:creator>
  <cp:lastModifiedBy>uuh</cp:lastModifiedBy>
  <cp:revision>2</cp:revision>
  <dcterms:created xsi:type="dcterms:W3CDTF">2014-10-24T07:59:00Z</dcterms:created>
  <dcterms:modified xsi:type="dcterms:W3CDTF">2014-10-24T07:59:00Z</dcterms:modified>
</cp:coreProperties>
</file>