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4A" w:rsidRDefault="0056514A" w:rsidP="0056514A">
      <w:pPr>
        <w:pStyle w:val="FigureCaption"/>
        <w:spacing w:before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Materials and methods used in the experiments</w:t>
      </w:r>
    </w:p>
    <w:p w:rsidR="0056514A" w:rsidRDefault="0056514A" w:rsidP="0056514A">
      <w:pPr>
        <w:spacing w:line="360" w:lineRule="auto"/>
        <w:contextualSpacing/>
        <w:rPr>
          <w:b/>
          <w:szCs w:val="20"/>
        </w:rPr>
      </w:pPr>
    </w:p>
    <w:p w:rsidR="0056514A" w:rsidRPr="00412A50" w:rsidRDefault="0056514A" w:rsidP="0056514A">
      <w:pPr>
        <w:spacing w:line="360" w:lineRule="auto"/>
        <w:contextualSpacing/>
        <w:rPr>
          <w:b/>
          <w:szCs w:val="20"/>
        </w:rPr>
      </w:pPr>
      <w:r w:rsidRPr="00412A50">
        <w:rPr>
          <w:b/>
          <w:szCs w:val="20"/>
        </w:rPr>
        <w:t>Materials</w:t>
      </w:r>
    </w:p>
    <w:p w:rsidR="0056514A" w:rsidRPr="00543130" w:rsidRDefault="0056514A" w:rsidP="0056514A">
      <w:pPr>
        <w:spacing w:line="360" w:lineRule="auto"/>
        <w:contextualSpacing/>
        <w:rPr>
          <w:rFonts w:cs="AdvP6975"/>
          <w:szCs w:val="20"/>
        </w:rPr>
      </w:pPr>
      <w:r w:rsidRPr="00782684">
        <w:rPr>
          <w:rFonts w:cs="AdvP6975"/>
          <w:szCs w:val="20"/>
        </w:rPr>
        <w:t>Bare biosensor Au chips, 11-mercapto-undecanoic acid, 1-ethyl-3-(3-dimethylaminopropyl</w:t>
      </w:r>
      <w:proofErr w:type="gramStart"/>
      <w:r w:rsidRPr="00782684">
        <w:rPr>
          <w:rFonts w:cs="AdvP6975"/>
          <w:szCs w:val="20"/>
        </w:rPr>
        <w:t>)carbodiimide</w:t>
      </w:r>
      <w:proofErr w:type="gramEnd"/>
      <w:r w:rsidRPr="00782684">
        <w:rPr>
          <w:rFonts w:cs="AdvP6975"/>
          <w:szCs w:val="20"/>
        </w:rPr>
        <w:t xml:space="preserve">, </w:t>
      </w:r>
      <w:r w:rsidRPr="00782684">
        <w:rPr>
          <w:rFonts w:cs="AdvP6975"/>
          <w:i/>
          <w:szCs w:val="20"/>
        </w:rPr>
        <w:t>N</w:t>
      </w:r>
      <w:r w:rsidRPr="00782684">
        <w:rPr>
          <w:rFonts w:cs="AdvP6975"/>
          <w:szCs w:val="20"/>
        </w:rPr>
        <w:t xml:space="preserve">-hydroxysuccinimide, and ethanolamine were from GE Healthcare, UK. CXCR4 </w:t>
      </w:r>
      <w:proofErr w:type="spellStart"/>
      <w:r w:rsidRPr="00782684">
        <w:rPr>
          <w:rFonts w:cs="AdvP6975"/>
          <w:szCs w:val="20"/>
        </w:rPr>
        <w:t>lipoparticles</w:t>
      </w:r>
      <w:proofErr w:type="spellEnd"/>
      <w:r w:rsidRPr="00782684">
        <w:rPr>
          <w:rFonts w:cs="AdvP6975"/>
          <w:szCs w:val="20"/>
        </w:rPr>
        <w:t xml:space="preserve"> were obtained from Integral Molecular (Philadelphia, PA) and </w:t>
      </w:r>
      <w:proofErr w:type="spellStart"/>
      <w:r w:rsidRPr="00782684">
        <w:rPr>
          <w:rFonts w:cs="AdvP6975"/>
          <w:szCs w:val="20"/>
        </w:rPr>
        <w:t>Chemiscreen</w:t>
      </w:r>
      <w:r w:rsidRPr="00782684">
        <w:rPr>
          <w:rFonts w:cs="AdvP6975"/>
          <w:szCs w:val="20"/>
          <w:vertAlign w:val="superscript"/>
        </w:rPr>
        <w:t>TM</w:t>
      </w:r>
      <w:proofErr w:type="spellEnd"/>
      <w:r w:rsidRPr="00782684">
        <w:rPr>
          <w:rFonts w:cs="AdvP6975"/>
          <w:szCs w:val="20"/>
        </w:rPr>
        <w:t xml:space="preserve"> CXCR4 receptor membrane preparations were from Perkin Elmer (Waltham, MA) CXCR4 conformational antibody 12G5 was from BD </w:t>
      </w:r>
      <w:proofErr w:type="spellStart"/>
      <w:r w:rsidRPr="00782684">
        <w:rPr>
          <w:rFonts w:cs="AdvP6975"/>
          <w:szCs w:val="20"/>
        </w:rPr>
        <w:t>Pharmingen</w:t>
      </w:r>
      <w:proofErr w:type="spellEnd"/>
      <w:r w:rsidRPr="00782684">
        <w:rPr>
          <w:rFonts w:cs="AdvP6975"/>
          <w:szCs w:val="20"/>
        </w:rPr>
        <w:t xml:space="preserve"> (East Rutherford, NJ), while </w:t>
      </w:r>
      <w:r w:rsidRPr="00782684">
        <w:rPr>
          <w:szCs w:val="20"/>
        </w:rPr>
        <w:t xml:space="preserve">C064025 was from </w:t>
      </w:r>
      <w:proofErr w:type="spellStart"/>
      <w:r w:rsidRPr="00782684">
        <w:rPr>
          <w:szCs w:val="20"/>
        </w:rPr>
        <w:t>LifeSpan</w:t>
      </w:r>
      <w:proofErr w:type="spellEnd"/>
      <w:r w:rsidRPr="00782684">
        <w:rPr>
          <w:szCs w:val="20"/>
        </w:rPr>
        <w:t xml:space="preserve"> </w:t>
      </w:r>
      <w:proofErr w:type="spellStart"/>
      <w:r w:rsidRPr="00782684">
        <w:rPr>
          <w:szCs w:val="20"/>
        </w:rPr>
        <w:t>BioSciences</w:t>
      </w:r>
      <w:proofErr w:type="spellEnd"/>
      <w:r w:rsidRPr="00782684">
        <w:rPr>
          <w:szCs w:val="20"/>
        </w:rPr>
        <w:t xml:space="preserve"> Inc (Seattle, WA) and 7L25 from Novus </w:t>
      </w:r>
      <w:proofErr w:type="spellStart"/>
      <w:r w:rsidRPr="00782684">
        <w:rPr>
          <w:szCs w:val="20"/>
        </w:rPr>
        <w:t>Biologicals</w:t>
      </w:r>
      <w:proofErr w:type="spellEnd"/>
      <w:r w:rsidRPr="00782684">
        <w:rPr>
          <w:szCs w:val="20"/>
        </w:rPr>
        <w:t xml:space="preserve"> (Littleton, CO) TNT T7 coupled wheat germ extract system was from </w:t>
      </w:r>
      <w:proofErr w:type="spellStart"/>
      <w:r w:rsidRPr="00782684">
        <w:rPr>
          <w:szCs w:val="20"/>
        </w:rPr>
        <w:t>Promega</w:t>
      </w:r>
      <w:proofErr w:type="spellEnd"/>
      <w:r w:rsidRPr="00782684">
        <w:rPr>
          <w:szCs w:val="20"/>
        </w:rPr>
        <w:t xml:space="preserve"> (Madison, WI).</w:t>
      </w:r>
      <w:r w:rsidRPr="00782684">
        <w:rPr>
          <w:rFonts w:cs="AdvP6975"/>
          <w:szCs w:val="20"/>
        </w:rPr>
        <w:t xml:space="preserve"> PEG antibody was from </w:t>
      </w:r>
      <w:proofErr w:type="spellStart"/>
      <w:r w:rsidRPr="00782684">
        <w:rPr>
          <w:rFonts w:cs="AdvP6975"/>
          <w:szCs w:val="20"/>
        </w:rPr>
        <w:t>Abcam</w:t>
      </w:r>
      <w:proofErr w:type="spellEnd"/>
      <w:r w:rsidRPr="00782684">
        <w:rPr>
          <w:rFonts w:cs="AdvP6975"/>
          <w:szCs w:val="20"/>
        </w:rPr>
        <w:t xml:space="preserve">, SDF1α and CXCR4 antibody for Western blot were from </w:t>
      </w:r>
      <w:proofErr w:type="spellStart"/>
      <w:r w:rsidRPr="00782684">
        <w:rPr>
          <w:rFonts w:cs="AdvP6975"/>
          <w:szCs w:val="20"/>
        </w:rPr>
        <w:t>Abcam</w:t>
      </w:r>
      <w:proofErr w:type="spellEnd"/>
      <w:r w:rsidRPr="00782684">
        <w:rPr>
          <w:rFonts w:cs="AdvP6975"/>
          <w:szCs w:val="20"/>
        </w:rPr>
        <w:t xml:space="preserve"> (Cambridge, UK).</w:t>
      </w:r>
      <w:r>
        <w:rPr>
          <w:rFonts w:cs="AdvP6975"/>
          <w:szCs w:val="20"/>
        </w:rPr>
        <w:t xml:space="preserve"> </w:t>
      </w:r>
      <w:r w:rsidRPr="00782684">
        <w:rPr>
          <w:rFonts w:cs="AdvP6975"/>
          <w:szCs w:val="20"/>
        </w:rPr>
        <w:t xml:space="preserve">All other reagents were from Sigma Aldrich (St Louis, MO). 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  <w:r w:rsidRPr="00782684">
        <w:rPr>
          <w:szCs w:val="20"/>
        </w:rPr>
        <w:t>Polymersomes were prepared as reported and purified by dialysis (MWCO 50 kDa, Spectra/</w:t>
      </w:r>
      <w:proofErr w:type="spellStart"/>
      <w:r w:rsidRPr="00782684">
        <w:rPr>
          <w:szCs w:val="20"/>
        </w:rPr>
        <w:t>Por</w:t>
      </w:r>
      <w:proofErr w:type="spellEnd"/>
      <w:r w:rsidRPr="00782684">
        <w:rPr>
          <w:szCs w:val="20"/>
        </w:rPr>
        <w:t>® 7, Spectrum Laboratories) against ultrapure water [1].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  <w:r w:rsidRPr="00782684">
        <w:rPr>
          <w:szCs w:val="20"/>
        </w:rPr>
        <w:t xml:space="preserve"> 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b/>
          <w:szCs w:val="20"/>
        </w:rPr>
      </w:pPr>
      <w:r w:rsidRPr="00782684">
        <w:rPr>
          <w:b/>
          <w:szCs w:val="20"/>
        </w:rPr>
        <w:t>Cloning of CXCR4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  <w:r w:rsidRPr="00782684">
        <w:rPr>
          <w:szCs w:val="20"/>
        </w:rPr>
        <w:t xml:space="preserve">Chemokine receptor CXCR4 gene (Source Bioscience </w:t>
      </w:r>
      <w:proofErr w:type="spellStart"/>
      <w:r w:rsidRPr="00782684">
        <w:rPr>
          <w:szCs w:val="20"/>
        </w:rPr>
        <w:t>Lifescience</w:t>
      </w:r>
      <w:proofErr w:type="spellEnd"/>
      <w:r w:rsidRPr="00782684">
        <w:rPr>
          <w:szCs w:val="20"/>
        </w:rPr>
        <w:t xml:space="preserve">: </w:t>
      </w:r>
      <w:proofErr w:type="spellStart"/>
      <w:r w:rsidRPr="00782684">
        <w:rPr>
          <w:szCs w:val="20"/>
        </w:rPr>
        <w:t>OmicsLink</w:t>
      </w:r>
      <w:proofErr w:type="spellEnd"/>
      <w:r w:rsidRPr="00782684">
        <w:rPr>
          <w:szCs w:val="20"/>
        </w:rPr>
        <w:t xml:space="preserve"> ORF Expression Clone: A0740; Human BAC (RPCI-11) -1; transcript variant 1 (long); LOCUS NM_000795) was cloned into the </w:t>
      </w:r>
      <w:proofErr w:type="spellStart"/>
      <w:r w:rsidRPr="00782684">
        <w:rPr>
          <w:szCs w:val="20"/>
        </w:rPr>
        <w:t>pCMVTNT</w:t>
      </w:r>
      <w:proofErr w:type="spellEnd"/>
      <w:r w:rsidRPr="00782684">
        <w:rPr>
          <w:szCs w:val="20"/>
        </w:rPr>
        <w:t xml:space="preserve"> vector according to standard molecular biology protocols. The gene for CXCR4 was amplified with polymerase chain reaction (PCR) from the pCMVTNT-CXCR4-GFP2 plasmid using the primers (forward: 5'-CCGGAATTCTTTTTTTTTTAAACCACCATGGATCCACTGAATCTGTCC-3'; reverse: 5'-GCCGCGGCCGCTTAGCAGTGGAGGATCTTCAGG-3' 1st base). In this step, an </w:t>
      </w:r>
      <w:proofErr w:type="spellStart"/>
      <w:r w:rsidRPr="00782684">
        <w:rPr>
          <w:szCs w:val="20"/>
        </w:rPr>
        <w:t>EcoRI</w:t>
      </w:r>
      <w:proofErr w:type="spellEnd"/>
      <w:r w:rsidRPr="00782684">
        <w:rPr>
          <w:szCs w:val="20"/>
        </w:rPr>
        <w:t xml:space="preserve"> restriction site and a </w:t>
      </w:r>
      <w:proofErr w:type="spellStart"/>
      <w:r w:rsidRPr="00782684">
        <w:rPr>
          <w:szCs w:val="20"/>
        </w:rPr>
        <w:t>Kozak</w:t>
      </w:r>
      <w:proofErr w:type="spellEnd"/>
      <w:r w:rsidRPr="00782684">
        <w:rPr>
          <w:szCs w:val="20"/>
        </w:rPr>
        <w:t xml:space="preserve"> sequence were introduced into the </w:t>
      </w:r>
      <w:proofErr w:type="spellStart"/>
      <w:r w:rsidRPr="00782684">
        <w:rPr>
          <w:szCs w:val="20"/>
        </w:rPr>
        <w:t>pCMVTNT</w:t>
      </w:r>
      <w:proofErr w:type="spellEnd"/>
      <w:r w:rsidRPr="00782684">
        <w:rPr>
          <w:szCs w:val="20"/>
        </w:rPr>
        <w:t xml:space="preserve"> vector before the gene. The PCR fragments and </w:t>
      </w:r>
      <w:proofErr w:type="spellStart"/>
      <w:r w:rsidRPr="00782684">
        <w:rPr>
          <w:szCs w:val="20"/>
        </w:rPr>
        <w:t>pCMVTNT</w:t>
      </w:r>
      <w:proofErr w:type="spellEnd"/>
      <w:r w:rsidRPr="00782684">
        <w:rPr>
          <w:szCs w:val="20"/>
        </w:rPr>
        <w:t xml:space="preserve"> vector were then digested with </w:t>
      </w:r>
      <w:proofErr w:type="spellStart"/>
      <w:r w:rsidRPr="00782684">
        <w:rPr>
          <w:szCs w:val="20"/>
        </w:rPr>
        <w:t>EcoRI</w:t>
      </w:r>
      <w:proofErr w:type="spellEnd"/>
      <w:r w:rsidRPr="00782684">
        <w:rPr>
          <w:szCs w:val="20"/>
        </w:rPr>
        <w:t xml:space="preserve"> and </w:t>
      </w:r>
      <w:proofErr w:type="spellStart"/>
      <w:r w:rsidRPr="00782684">
        <w:rPr>
          <w:szCs w:val="20"/>
        </w:rPr>
        <w:t>NotI</w:t>
      </w:r>
      <w:proofErr w:type="spellEnd"/>
      <w:r w:rsidRPr="00782684">
        <w:rPr>
          <w:szCs w:val="20"/>
        </w:rPr>
        <w:t xml:space="preserve"> followed by a ligation reaction. The cloning was </w:t>
      </w:r>
      <w:proofErr w:type="spellStart"/>
      <w:r w:rsidRPr="00782684">
        <w:rPr>
          <w:szCs w:val="20"/>
        </w:rPr>
        <w:t>veriﬁed</w:t>
      </w:r>
      <w:proofErr w:type="spellEnd"/>
      <w:r w:rsidRPr="00782684">
        <w:rPr>
          <w:szCs w:val="20"/>
        </w:rPr>
        <w:t xml:space="preserve"> by sequencing analysis.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</w:p>
    <w:p w:rsidR="0056514A" w:rsidRPr="00782684" w:rsidRDefault="0056514A" w:rsidP="0056514A">
      <w:pPr>
        <w:spacing w:line="360" w:lineRule="auto"/>
        <w:contextualSpacing/>
        <w:jc w:val="both"/>
        <w:rPr>
          <w:b/>
          <w:szCs w:val="20"/>
        </w:rPr>
      </w:pPr>
      <w:r w:rsidRPr="00782684">
        <w:rPr>
          <w:b/>
          <w:szCs w:val="20"/>
        </w:rPr>
        <w:t>In vitro expression of CXCR4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  <w:r w:rsidRPr="00782684">
        <w:rPr>
          <w:szCs w:val="20"/>
        </w:rPr>
        <w:t xml:space="preserve">For cell free in-vitro expression of DRD2 a TNT T7 coupled wheat germ extract system was used. Briefly, a 50 µL reaction mixture containing 2.0 µg CXCR4 DNA </w:t>
      </w:r>
      <w:proofErr w:type="gramStart"/>
      <w:r w:rsidRPr="00782684">
        <w:rPr>
          <w:szCs w:val="20"/>
        </w:rPr>
        <w:t>template</w:t>
      </w:r>
      <w:proofErr w:type="gramEnd"/>
      <w:r w:rsidRPr="00782684">
        <w:rPr>
          <w:szCs w:val="20"/>
        </w:rPr>
        <w:t xml:space="preserve"> was prepared according to the supplier’s protocol and incubated for 20 h at 15 °C. As a control, the same reaction mixture without cDNA or native CXCR4 membrane preparations was used. Successful expression was determined by Western Blot analysis. After in vitro expression of the protein the </w:t>
      </w:r>
      <w:proofErr w:type="spellStart"/>
      <w:r w:rsidRPr="00782684">
        <w:rPr>
          <w:szCs w:val="20"/>
        </w:rPr>
        <w:t>proteopolymersomes</w:t>
      </w:r>
      <w:proofErr w:type="spellEnd"/>
      <w:r w:rsidRPr="00782684">
        <w:rPr>
          <w:szCs w:val="20"/>
        </w:rPr>
        <w:t xml:space="preserve"> were purified from the in vitro synthesis mixture using </w:t>
      </w:r>
      <w:proofErr w:type="spellStart"/>
      <w:r w:rsidRPr="00782684">
        <w:rPr>
          <w:szCs w:val="20"/>
        </w:rPr>
        <w:t>Durapore</w:t>
      </w:r>
      <w:proofErr w:type="spellEnd"/>
      <w:r w:rsidRPr="00782684">
        <w:rPr>
          <w:szCs w:val="20"/>
        </w:rPr>
        <w:t xml:space="preserve"> PVDF 1000 k MWCO centrifugal </w:t>
      </w:r>
      <w:proofErr w:type="spellStart"/>
      <w:r w:rsidRPr="00782684">
        <w:rPr>
          <w:szCs w:val="20"/>
        </w:rPr>
        <w:t>ﬁlters</w:t>
      </w:r>
      <w:proofErr w:type="spellEnd"/>
      <w:r w:rsidRPr="00782684">
        <w:rPr>
          <w:szCs w:val="20"/>
        </w:rPr>
        <w:t xml:space="preserve"> (Millipore) retaining only proteins associated with the polymersomes.</w:t>
      </w:r>
    </w:p>
    <w:p w:rsidR="0056514A" w:rsidRPr="00782684" w:rsidRDefault="0056514A" w:rsidP="0056514A">
      <w:pPr>
        <w:spacing w:line="360" w:lineRule="auto"/>
        <w:contextualSpacing/>
        <w:jc w:val="both"/>
        <w:rPr>
          <w:szCs w:val="20"/>
        </w:rPr>
      </w:pPr>
    </w:p>
    <w:p w:rsidR="0056514A" w:rsidRPr="00782684" w:rsidRDefault="0056514A" w:rsidP="0056514A">
      <w:pPr>
        <w:spacing w:line="360" w:lineRule="auto"/>
        <w:contextualSpacing/>
        <w:jc w:val="both"/>
        <w:rPr>
          <w:b/>
          <w:szCs w:val="20"/>
        </w:rPr>
      </w:pPr>
      <w:r w:rsidRPr="00782684">
        <w:rPr>
          <w:b/>
          <w:szCs w:val="20"/>
        </w:rPr>
        <w:t>Western blot</w:t>
      </w:r>
    </w:p>
    <w:p w:rsidR="0056514A" w:rsidRDefault="0056514A" w:rsidP="0056514A">
      <w:pPr>
        <w:spacing w:line="360" w:lineRule="auto"/>
        <w:contextualSpacing/>
        <w:jc w:val="both"/>
        <w:rPr>
          <w:szCs w:val="20"/>
        </w:rPr>
      </w:pPr>
      <w:r w:rsidRPr="00782684">
        <w:rPr>
          <w:szCs w:val="20"/>
        </w:rPr>
        <w:t>5 µL of in vitro reaction mixture was used for gel electrophoresis (</w:t>
      </w:r>
      <w:proofErr w:type="spellStart"/>
      <w:r w:rsidRPr="00782684">
        <w:rPr>
          <w:szCs w:val="20"/>
        </w:rPr>
        <w:t>NuPAGE</w:t>
      </w:r>
      <w:proofErr w:type="spellEnd"/>
      <w:r w:rsidRPr="00782684">
        <w:rPr>
          <w:szCs w:val="20"/>
        </w:rPr>
        <w:t xml:space="preserve"> 10% </w:t>
      </w:r>
      <w:proofErr w:type="spellStart"/>
      <w:r w:rsidRPr="00782684">
        <w:rPr>
          <w:szCs w:val="20"/>
        </w:rPr>
        <w:t>Bis-Tris</w:t>
      </w:r>
      <w:proofErr w:type="spellEnd"/>
      <w:r w:rsidRPr="00782684">
        <w:rPr>
          <w:szCs w:val="20"/>
        </w:rPr>
        <w:t xml:space="preserve"> Gel, MES running buffer, </w:t>
      </w:r>
      <w:proofErr w:type="spellStart"/>
      <w:r w:rsidRPr="00782684">
        <w:rPr>
          <w:szCs w:val="20"/>
        </w:rPr>
        <w:t>Invitrogen</w:t>
      </w:r>
      <w:proofErr w:type="spellEnd"/>
      <w:r w:rsidRPr="00782684">
        <w:rPr>
          <w:szCs w:val="20"/>
        </w:rPr>
        <w:t>, 200V, 30 min) and Western Blot (</w:t>
      </w:r>
      <w:proofErr w:type="spellStart"/>
      <w:r w:rsidRPr="00782684">
        <w:rPr>
          <w:szCs w:val="20"/>
        </w:rPr>
        <w:t>iBlot</w:t>
      </w:r>
      <w:proofErr w:type="spellEnd"/>
      <w:r w:rsidRPr="00782684">
        <w:rPr>
          <w:szCs w:val="20"/>
        </w:rPr>
        <w:t xml:space="preserve"> system with PVDF membrane and Western Breeze® </w:t>
      </w:r>
      <w:proofErr w:type="spellStart"/>
      <w:r w:rsidRPr="00782684">
        <w:rPr>
          <w:szCs w:val="20"/>
        </w:rPr>
        <w:t>Chemiluminescence</w:t>
      </w:r>
      <w:proofErr w:type="spellEnd"/>
      <w:r w:rsidRPr="00782684">
        <w:rPr>
          <w:szCs w:val="20"/>
        </w:rPr>
        <w:t xml:space="preserve"> Kit, anti-mouse, </w:t>
      </w:r>
      <w:proofErr w:type="spellStart"/>
      <w:r w:rsidRPr="00782684">
        <w:rPr>
          <w:szCs w:val="20"/>
        </w:rPr>
        <w:t>Invitrogen</w:t>
      </w:r>
      <w:proofErr w:type="spellEnd"/>
      <w:r w:rsidRPr="00782684">
        <w:rPr>
          <w:szCs w:val="20"/>
        </w:rPr>
        <w:t>) according to the supplier’s manual. The blot was incubated overnight in a 1:1000 dilution of anti-CXCR4.</w:t>
      </w:r>
    </w:p>
    <w:p w:rsidR="0056514A" w:rsidRDefault="0056514A" w:rsidP="0056514A">
      <w:pPr>
        <w:spacing w:line="360" w:lineRule="auto"/>
        <w:contextualSpacing/>
        <w:jc w:val="both"/>
        <w:rPr>
          <w:szCs w:val="20"/>
        </w:rPr>
      </w:pPr>
    </w:p>
    <w:p w:rsidR="00D44C04" w:rsidRDefault="0056514A" w:rsidP="0056514A">
      <w:r>
        <w:rPr>
          <w:szCs w:val="20"/>
        </w:rPr>
        <w:t>[1]</w:t>
      </w:r>
      <w:r w:rsidRPr="002D0AE0">
        <w:rPr>
          <w:szCs w:val="20"/>
        </w:rPr>
        <w:t xml:space="preserve"> </w:t>
      </w:r>
      <w:r w:rsidRPr="00782684">
        <w:rPr>
          <w:szCs w:val="20"/>
        </w:rPr>
        <w:t xml:space="preserve">M. Nallani, M. </w:t>
      </w:r>
      <w:proofErr w:type="spellStart"/>
      <w:r w:rsidRPr="00782684">
        <w:rPr>
          <w:szCs w:val="20"/>
        </w:rPr>
        <w:t>Andreasson-Ochsner</w:t>
      </w:r>
      <w:proofErr w:type="spellEnd"/>
      <w:r w:rsidRPr="00782684">
        <w:rPr>
          <w:szCs w:val="20"/>
        </w:rPr>
        <w:t xml:space="preserve">, C. W. Tan, E. K. Sinner, Y. </w:t>
      </w:r>
      <w:proofErr w:type="spellStart"/>
      <w:r w:rsidRPr="00782684">
        <w:rPr>
          <w:szCs w:val="20"/>
        </w:rPr>
        <w:t>Wisantoso</w:t>
      </w:r>
      <w:proofErr w:type="spellEnd"/>
      <w:r w:rsidRPr="00782684">
        <w:rPr>
          <w:szCs w:val="20"/>
        </w:rPr>
        <w:t xml:space="preserve">, S. </w:t>
      </w:r>
      <w:proofErr w:type="spellStart"/>
      <w:r w:rsidRPr="00782684">
        <w:rPr>
          <w:szCs w:val="20"/>
        </w:rPr>
        <w:t>Geifman-Shochat</w:t>
      </w:r>
      <w:proofErr w:type="spellEnd"/>
      <w:r w:rsidRPr="00782684">
        <w:rPr>
          <w:szCs w:val="20"/>
        </w:rPr>
        <w:t xml:space="preserve">, W. </w:t>
      </w:r>
      <w:proofErr w:type="spellStart"/>
      <w:r w:rsidRPr="00782684">
        <w:rPr>
          <w:szCs w:val="20"/>
        </w:rPr>
        <w:t>Hunziker</w:t>
      </w:r>
      <w:proofErr w:type="spellEnd"/>
      <w:r w:rsidRPr="00782684">
        <w:rPr>
          <w:szCs w:val="20"/>
        </w:rPr>
        <w:t xml:space="preserve">, </w:t>
      </w:r>
      <w:proofErr w:type="spellStart"/>
      <w:r w:rsidRPr="00782684">
        <w:rPr>
          <w:szCs w:val="20"/>
        </w:rPr>
        <w:t>Biointerphases</w:t>
      </w:r>
      <w:proofErr w:type="spellEnd"/>
      <w:r w:rsidRPr="00782684">
        <w:rPr>
          <w:szCs w:val="20"/>
        </w:rPr>
        <w:t xml:space="preserve"> 2011, 6, 153.</w:t>
      </w:r>
    </w:p>
    <w:sectPr w:rsidR="00D44C04" w:rsidSect="00D4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697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514A"/>
    <w:rsid w:val="00032C42"/>
    <w:rsid w:val="000D04A1"/>
    <w:rsid w:val="00214F11"/>
    <w:rsid w:val="00327F1E"/>
    <w:rsid w:val="00540E74"/>
    <w:rsid w:val="0056514A"/>
    <w:rsid w:val="00732C69"/>
    <w:rsid w:val="0099462E"/>
    <w:rsid w:val="00BB09A0"/>
    <w:rsid w:val="00C77CD9"/>
    <w:rsid w:val="00CF2634"/>
    <w:rsid w:val="00D44C04"/>
    <w:rsid w:val="00D9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4A"/>
    <w:pPr>
      <w:spacing w:after="0" w:line="240" w:lineRule="auto"/>
    </w:pPr>
    <w:rPr>
      <w:rFonts w:ascii="Times New Roman" w:eastAsia="MS Mincho" w:hAnsi="Times New Roman" w:cs="Times New Roman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B09A0"/>
    <w:rPr>
      <w:rFonts w:asciiTheme="minorHAnsi" w:eastAsiaTheme="minorHAnsi" w:hAnsiTheme="minorHAnsi" w:cstheme="minorBidi"/>
      <w:sz w:val="22"/>
      <w:szCs w:val="22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9A0"/>
    <w:rPr>
      <w:lang w:val="en-US" w:eastAsia="fr-FR"/>
    </w:rPr>
  </w:style>
  <w:style w:type="paragraph" w:customStyle="1" w:styleId="FigureCaption">
    <w:name w:val="FigureCaption"/>
    <w:basedOn w:val="Normal"/>
    <w:rsid w:val="0056514A"/>
    <w:pPr>
      <w:spacing w:before="230" w:after="460" w:line="200" w:lineRule="exact"/>
    </w:pPr>
    <w:rPr>
      <w:rFonts w:ascii="Arial" w:hAnsi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Company>Hewlett-Packard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</dc:creator>
  <cp:lastModifiedBy>Hans-Peter</cp:lastModifiedBy>
  <cp:revision>1</cp:revision>
  <dcterms:created xsi:type="dcterms:W3CDTF">2014-09-30T13:58:00Z</dcterms:created>
  <dcterms:modified xsi:type="dcterms:W3CDTF">2014-09-30T13:58:00Z</dcterms:modified>
</cp:coreProperties>
</file>