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76"/>
        <w:gridCol w:w="1244"/>
        <w:gridCol w:w="280"/>
        <w:gridCol w:w="820"/>
        <w:gridCol w:w="65"/>
        <w:gridCol w:w="11"/>
        <w:gridCol w:w="131"/>
        <w:gridCol w:w="1073"/>
        <w:gridCol w:w="280"/>
        <w:gridCol w:w="253"/>
        <w:gridCol w:w="76"/>
        <w:gridCol w:w="303"/>
        <w:gridCol w:w="141"/>
        <w:gridCol w:w="142"/>
        <w:gridCol w:w="265"/>
        <w:gridCol w:w="586"/>
      </w:tblGrid>
      <w:tr w:rsidR="009F1B4F" w:rsidRPr="00782ADC" w:rsidTr="00782ADC">
        <w:trPr>
          <w:trHeight w:val="330"/>
        </w:trPr>
        <w:tc>
          <w:tcPr>
            <w:tcW w:w="8946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4F" w:rsidRPr="001A560F" w:rsidRDefault="008A2BCB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75C73">
              <w:rPr>
                <w:rFonts w:asciiTheme="majorHAnsi" w:eastAsia="標楷體" w:hAnsiTheme="majorHAnsi"/>
                <w:b/>
                <w:szCs w:val="24"/>
              </w:rPr>
              <w:t>Table S1.</w:t>
            </w:r>
            <w:r w:rsidRPr="001A560F">
              <w:rPr>
                <w:rFonts w:asciiTheme="majorHAnsi" w:eastAsia="標楷體" w:hAnsiTheme="majorHAnsi"/>
                <w:szCs w:val="24"/>
              </w:rPr>
              <w:t xml:space="preserve"> Comparisons of clinical c</w:t>
            </w:r>
            <w:r w:rsidR="009F1B4F" w:rsidRPr="001A560F">
              <w:rPr>
                <w:rFonts w:asciiTheme="majorHAnsi" w:eastAsia="標楷體" w:hAnsiTheme="majorHAnsi"/>
                <w:szCs w:val="24"/>
              </w:rPr>
              <w:t xml:space="preserve">haracteristics of </w:t>
            </w:r>
            <w:r w:rsidRPr="001A560F">
              <w:rPr>
                <w:rFonts w:asciiTheme="majorHAnsi" w:eastAsia="標楷體" w:hAnsiTheme="majorHAnsi"/>
                <w:szCs w:val="24"/>
              </w:rPr>
              <w:t>patient</w:t>
            </w:r>
            <w:r w:rsidR="00B75C73">
              <w:rPr>
                <w:rFonts w:asciiTheme="majorHAnsi" w:eastAsia="標楷體" w:hAnsiTheme="majorHAnsi" w:hint="eastAsia"/>
                <w:szCs w:val="24"/>
              </w:rPr>
              <w:t>s</w:t>
            </w:r>
            <w:r w:rsidRPr="001A560F">
              <w:rPr>
                <w:rFonts w:asciiTheme="majorHAnsi" w:eastAsia="標楷體" w:hAnsiTheme="majorHAnsi"/>
                <w:szCs w:val="24"/>
              </w:rPr>
              <w:t xml:space="preserve"> with </w:t>
            </w:r>
            <w:r w:rsidR="009F1B4F" w:rsidRPr="001A560F">
              <w:rPr>
                <w:rFonts w:asciiTheme="majorHAnsi" w:eastAsia="標楷體" w:hAnsiTheme="majorHAnsi"/>
                <w:szCs w:val="24"/>
              </w:rPr>
              <w:t xml:space="preserve">missing </w:t>
            </w:r>
            <w:r w:rsidRPr="001A560F">
              <w:rPr>
                <w:rFonts w:asciiTheme="majorHAnsi" w:eastAsia="標楷體" w:hAnsiTheme="majorHAnsi"/>
                <w:szCs w:val="24"/>
              </w:rPr>
              <w:t xml:space="preserve">rapid plasma </w:t>
            </w:r>
            <w:proofErr w:type="spellStart"/>
            <w:r w:rsidRPr="001A560F">
              <w:rPr>
                <w:rFonts w:asciiTheme="majorHAnsi" w:eastAsia="標楷體" w:hAnsiTheme="majorHAnsi"/>
                <w:szCs w:val="24"/>
              </w:rPr>
              <w:t>reagin</w:t>
            </w:r>
            <w:proofErr w:type="spellEnd"/>
            <w:r w:rsidRPr="001A560F">
              <w:rPr>
                <w:rFonts w:asciiTheme="majorHAnsi" w:eastAsia="標楷體" w:hAnsiTheme="majorHAnsi"/>
                <w:szCs w:val="24"/>
              </w:rPr>
              <w:t xml:space="preserve"> </w:t>
            </w:r>
            <w:r w:rsidR="009F1B4F" w:rsidRPr="001A560F">
              <w:rPr>
                <w:rFonts w:asciiTheme="majorHAnsi" w:eastAsia="標楷體" w:hAnsiTheme="majorHAnsi"/>
                <w:szCs w:val="24"/>
              </w:rPr>
              <w:t xml:space="preserve">values </w:t>
            </w:r>
            <w:r w:rsidRPr="001A560F">
              <w:rPr>
                <w:rFonts w:asciiTheme="majorHAnsi" w:eastAsia="標楷體" w:hAnsiTheme="majorHAnsi"/>
                <w:szCs w:val="24"/>
              </w:rPr>
              <w:t xml:space="preserve">and those without missing values </w:t>
            </w:r>
            <w:r w:rsidR="009F1B4F" w:rsidRPr="001A560F">
              <w:rPr>
                <w:rFonts w:asciiTheme="majorHAnsi" w:eastAsia="標楷體" w:hAnsiTheme="majorHAnsi"/>
                <w:szCs w:val="24"/>
              </w:rPr>
              <w:t>at 6 months</w:t>
            </w:r>
            <w:r w:rsidRPr="001A560F">
              <w:rPr>
                <w:rFonts w:asciiTheme="majorHAnsi" w:eastAsia="標楷體" w:hAnsiTheme="majorHAnsi"/>
                <w:szCs w:val="24"/>
              </w:rPr>
              <w:t xml:space="preserve"> of follow-up</w:t>
            </w:r>
          </w:p>
        </w:tc>
      </w:tr>
      <w:tr w:rsidR="00284FC9" w:rsidRPr="00782ADC" w:rsidTr="00782AD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="Times New Roman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782ADC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Patients with m</w:t>
            </w:r>
            <w:r w:rsidR="00284FC9"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issing 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values </w:t>
            </w:r>
            <w:r w:rsidR="00284FC9"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(n=123)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782ADC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Patients without m</w:t>
            </w:r>
            <w:r w:rsidR="00284FC9"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issing 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values </w:t>
            </w:r>
            <w:r w:rsidR="00284FC9"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(n=450)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P-value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Age, mean (SD), years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32.9 (7.3)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33.2 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0.58</w:t>
            </w:r>
          </w:p>
        </w:tc>
      </w:tr>
      <w:tr w:rsidR="00284FC9" w:rsidRPr="00782ADC" w:rsidTr="00782ADC">
        <w:trPr>
          <w:gridAfter w:val="1"/>
          <w:wAfter w:w="586" w:type="dxa"/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Risk, n (%)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MSM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116 (94.31)</w:t>
            </w:r>
          </w:p>
        </w:tc>
        <w:tc>
          <w:tcPr>
            <w:tcW w:w="2268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423 (94.00)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782ADC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>
              <w:rPr>
                <w:rFonts w:asciiTheme="majorHAnsi" w:eastAsia="標楷體" w:hAnsiTheme="majorHAnsi" w:cs="Arial" w:hint="eastAsia"/>
                <w:color w:val="000000"/>
                <w:kern w:val="0"/>
                <w:szCs w:val="24"/>
              </w:rPr>
              <w:t>&gt;0.99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non-MSM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7 (5.69)</w:t>
            </w:r>
          </w:p>
        </w:tc>
        <w:tc>
          <w:tcPr>
            <w:tcW w:w="2268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27 (6.00)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</w:tr>
      <w:tr w:rsidR="00284FC9" w:rsidRPr="00782ADC" w:rsidTr="00782ADC">
        <w:trPr>
          <w:gridAfter w:val="1"/>
          <w:wAfter w:w="586" w:type="dxa"/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Syphilis stage, n (%)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Primary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14 (11.38)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37 (8.22)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0.29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Secondary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79 (64.23)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252 (56.00)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0.12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1A560F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1A560F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Early latent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1A560F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1A560F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30 (24.39)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1A560F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1A560F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161 (35.78)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1A560F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1A560F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0.018</w:t>
            </w:r>
          </w:p>
        </w:tc>
      </w:tr>
      <w:tr w:rsidR="00284FC9" w:rsidRPr="00782ADC" w:rsidTr="00782ADC">
        <w:trPr>
          <w:gridAfter w:val="1"/>
          <w:wAfter w:w="586" w:type="dxa"/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RPR titer, median (IQR)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84FC9" w:rsidRPr="00782ADC" w:rsidRDefault="00284FC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RPR titer </w:t>
            </w:r>
            <w:r w:rsidRPr="00782ADC">
              <w:rPr>
                <w:rFonts w:asciiTheme="majorHAnsi" w:hAnsi="新細明體" w:cs="新細明體"/>
                <w:color w:val="000000"/>
                <w:kern w:val="0"/>
                <w:szCs w:val="24"/>
              </w:rPr>
              <w:t>≧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1:32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99 (80.49)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379 (84.22)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0.34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CD4 count, mean (SD), cells/</w:t>
            </w:r>
            <w:proofErr w:type="spellStart"/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μl</w:t>
            </w:r>
            <w:proofErr w:type="spellEnd"/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447 (247)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459 (243)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0.83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CD4 </w:t>
            </w:r>
            <w:r w:rsidRPr="00782ADC">
              <w:rPr>
                <w:rFonts w:asciiTheme="majorHAnsi" w:hAnsi="新細明體" w:cs="新細明體"/>
                <w:color w:val="000000"/>
                <w:kern w:val="0"/>
                <w:szCs w:val="24"/>
              </w:rPr>
              <w:t>≦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200, n (%)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15 (12.20)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56 (12.44)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782ADC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>
              <w:rPr>
                <w:rFonts w:asciiTheme="majorHAnsi" w:eastAsia="標楷體" w:hAnsiTheme="majorHAnsi" w:cs="Arial" w:hint="eastAsia"/>
                <w:color w:val="000000"/>
                <w:kern w:val="0"/>
                <w:szCs w:val="24"/>
              </w:rPr>
              <w:t>&gt;0.99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200 &lt;CD4 </w:t>
            </w:r>
            <w:r w:rsidRPr="00782ADC">
              <w:rPr>
                <w:rFonts w:asciiTheme="majorHAnsi" w:hAnsi="新細明體" w:cs="新細明體"/>
                <w:color w:val="000000"/>
                <w:kern w:val="0"/>
                <w:szCs w:val="24"/>
              </w:rPr>
              <w:t>≦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350, n (%)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33 (26.83)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103 (22.89)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0.4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CD4 &gt;350, n (%)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75 (60.98)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291 (64.67)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0.46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PVL, mean (SD), log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  <w:vertAlign w:val="subscript"/>
              </w:rPr>
              <w:t>10</w:t>
            </w: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copies/ml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3.15 (1.48)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3.02 (1.5)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0.66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 xml:space="preserve">    PVL &lt;400 copies/ml, n (%)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62 (50.41)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243 (54.00)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0.54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Prior history of syphilis, n (%)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42 (34.15)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161 (35.78)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0.83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782ADC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>
              <w:rPr>
                <w:rFonts w:asciiTheme="majorHAnsi" w:eastAsia="標楷體" w:hAnsiTheme="majorHAnsi" w:cs="Arial" w:hint="eastAsia"/>
                <w:color w:val="000000"/>
                <w:kern w:val="0"/>
                <w:szCs w:val="24"/>
              </w:rPr>
              <w:t>C</w:t>
            </w:r>
            <w:r w:rsidR="00240139"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ART, n (%)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78 (63.41)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284 (63.11)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782ADC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>
              <w:rPr>
                <w:rFonts w:asciiTheme="majorHAnsi" w:eastAsia="標楷體" w:hAnsiTheme="majorHAnsi" w:cs="Arial" w:hint="eastAsia"/>
                <w:color w:val="000000"/>
                <w:kern w:val="0"/>
                <w:szCs w:val="24"/>
              </w:rPr>
              <w:t>&gt;0.99</w:t>
            </w:r>
          </w:p>
        </w:tc>
      </w:tr>
      <w:tr w:rsidR="00240139" w:rsidRPr="00782ADC" w:rsidTr="00782ADC">
        <w:trPr>
          <w:trHeight w:val="330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 doses of penicillin, n (%)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65 (52.85)</w:t>
            </w:r>
          </w:p>
        </w:tc>
        <w:tc>
          <w:tcPr>
            <w:tcW w:w="2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213 (47.33)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139" w:rsidRPr="00782ADC" w:rsidRDefault="00240139" w:rsidP="00782ADC">
            <w:pPr>
              <w:widowControl/>
              <w:spacing w:line="360" w:lineRule="auto"/>
              <w:jc w:val="center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782ADC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0.31</w:t>
            </w:r>
          </w:p>
        </w:tc>
      </w:tr>
    </w:tbl>
    <w:p w:rsidR="00284FC9" w:rsidRPr="00D15C8E" w:rsidRDefault="00782ADC" w:rsidP="001A560F">
      <w:pPr>
        <w:spacing w:line="360" w:lineRule="auto"/>
        <w:rPr>
          <w:rFonts w:ascii="Times New Roman" w:eastAsia="標楷體" w:hAnsi="Times New Roman"/>
        </w:rPr>
      </w:pPr>
      <w:r w:rsidRPr="00E0306F">
        <w:rPr>
          <w:rFonts w:asciiTheme="majorHAnsi" w:eastAsia="標楷體" w:hAnsiTheme="majorHAnsi"/>
          <w:b/>
        </w:rPr>
        <w:t>Abbreviations:</w:t>
      </w:r>
      <w:r w:rsidR="00B75C73">
        <w:rPr>
          <w:rFonts w:asciiTheme="majorHAnsi" w:eastAsia="標楷體" w:hAnsiTheme="majorHAnsi" w:hint="eastAsia"/>
          <w:b/>
        </w:rPr>
        <w:t xml:space="preserve"> </w:t>
      </w:r>
      <w:r w:rsidR="00B75C73" w:rsidRPr="00B75C73">
        <w:rPr>
          <w:rFonts w:asciiTheme="majorHAnsi" w:eastAsia="標楷體" w:hAnsiTheme="majorHAnsi" w:hint="eastAsia"/>
        </w:rPr>
        <w:t>CART; combination antiretroviral therapy;</w:t>
      </w:r>
      <w:r w:rsidRPr="00B75C73"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Theme="majorHAnsi" w:hint="eastAsia"/>
        </w:rPr>
        <w:t xml:space="preserve">IQR, </w:t>
      </w:r>
      <w:proofErr w:type="spellStart"/>
      <w:r>
        <w:rPr>
          <w:rFonts w:asciiTheme="majorHAnsi" w:eastAsia="標楷體" w:hAnsiTheme="majorHAnsi" w:hint="eastAsia"/>
        </w:rPr>
        <w:t>interquartile</w:t>
      </w:r>
      <w:proofErr w:type="spellEnd"/>
      <w:r>
        <w:rPr>
          <w:rFonts w:asciiTheme="majorHAnsi" w:eastAsia="標楷體" w:hAnsiTheme="majorHAnsi" w:hint="eastAsia"/>
        </w:rPr>
        <w:t xml:space="preserve"> range; MSM, men who have sex with men; PVL, plasma HIV RNA load; SD, standard deviation</w:t>
      </w:r>
    </w:p>
    <w:sectPr w:rsidR="00284FC9" w:rsidRPr="00D15C8E" w:rsidSect="00284FC9">
      <w:pgSz w:w="11906" w:h="16838"/>
      <w:pgMar w:top="1440" w:right="1800" w:bottom="144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F2" w:rsidRDefault="004841F2" w:rsidP="002E410A">
      <w:r>
        <w:separator/>
      </w:r>
    </w:p>
  </w:endnote>
  <w:endnote w:type="continuationSeparator" w:id="0">
    <w:p w:rsidR="004841F2" w:rsidRDefault="004841F2" w:rsidP="002E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F2" w:rsidRDefault="004841F2" w:rsidP="002E410A">
      <w:r>
        <w:separator/>
      </w:r>
    </w:p>
  </w:footnote>
  <w:footnote w:type="continuationSeparator" w:id="0">
    <w:p w:rsidR="004841F2" w:rsidRDefault="004841F2" w:rsidP="002E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856"/>
    <w:rsid w:val="000273CE"/>
    <w:rsid w:val="000727B5"/>
    <w:rsid w:val="001372BA"/>
    <w:rsid w:val="00190457"/>
    <w:rsid w:val="001A560F"/>
    <w:rsid w:val="001D73F9"/>
    <w:rsid w:val="00240139"/>
    <w:rsid w:val="002827FD"/>
    <w:rsid w:val="00284FC9"/>
    <w:rsid w:val="002A4053"/>
    <w:rsid w:val="002E410A"/>
    <w:rsid w:val="00324609"/>
    <w:rsid w:val="00344B5A"/>
    <w:rsid w:val="003F094D"/>
    <w:rsid w:val="004841F2"/>
    <w:rsid w:val="00560C14"/>
    <w:rsid w:val="00575196"/>
    <w:rsid w:val="005A51F3"/>
    <w:rsid w:val="00640062"/>
    <w:rsid w:val="006577F6"/>
    <w:rsid w:val="00680856"/>
    <w:rsid w:val="006E09F1"/>
    <w:rsid w:val="007004AE"/>
    <w:rsid w:val="00736B23"/>
    <w:rsid w:val="00782ADC"/>
    <w:rsid w:val="007C02CE"/>
    <w:rsid w:val="007C26A6"/>
    <w:rsid w:val="00817745"/>
    <w:rsid w:val="008A2BCB"/>
    <w:rsid w:val="009760E6"/>
    <w:rsid w:val="009C5461"/>
    <w:rsid w:val="009F1B4F"/>
    <w:rsid w:val="009F2F11"/>
    <w:rsid w:val="00A451F6"/>
    <w:rsid w:val="00A942D6"/>
    <w:rsid w:val="00B75C73"/>
    <w:rsid w:val="00C758FE"/>
    <w:rsid w:val="00C95A8A"/>
    <w:rsid w:val="00CA14A3"/>
    <w:rsid w:val="00DB7216"/>
    <w:rsid w:val="00E0306F"/>
    <w:rsid w:val="00E65BF9"/>
    <w:rsid w:val="00E95B25"/>
    <w:rsid w:val="00F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9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410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410A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C95A8A"/>
    <w:pPr>
      <w:widowControl w:val="0"/>
    </w:pPr>
    <w:rPr>
      <w:rFonts w:ascii="Calibri" w:eastAsia="新細明體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9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Chia-Jui</dc:creator>
  <cp:lastModifiedBy>CCHung</cp:lastModifiedBy>
  <cp:revision>3</cp:revision>
  <dcterms:created xsi:type="dcterms:W3CDTF">2014-08-30T01:43:00Z</dcterms:created>
  <dcterms:modified xsi:type="dcterms:W3CDTF">2014-08-30T04:53:00Z</dcterms:modified>
</cp:coreProperties>
</file>