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CC6" w:rsidRDefault="00C07CC6" w:rsidP="00C07CC6">
      <w:pPr>
        <w:rPr>
          <w:rFonts w:ascii="Times New Roman" w:hAnsi="Times New Roman"/>
          <w:sz w:val="24"/>
          <w:szCs w:val="24"/>
          <w:lang w:val="en-US"/>
        </w:rPr>
      </w:pPr>
      <w:r w:rsidRPr="007330D8">
        <w:rPr>
          <w:rFonts w:ascii="Times New Roman" w:hAnsi="Times New Roman"/>
          <w:sz w:val="24"/>
          <w:szCs w:val="24"/>
          <w:lang w:val="en-US"/>
        </w:rPr>
        <w:t xml:space="preserve">List of 53 medicines for which </w:t>
      </w:r>
      <w:r>
        <w:rPr>
          <w:rFonts w:ascii="Times New Roman" w:hAnsi="Times New Roman"/>
          <w:sz w:val="24"/>
          <w:szCs w:val="24"/>
          <w:lang w:val="en-US"/>
        </w:rPr>
        <w:t xml:space="preserve">publicly available </w:t>
      </w:r>
      <w:r w:rsidRPr="007330D8">
        <w:rPr>
          <w:rFonts w:ascii="Times New Roman" w:hAnsi="Times New Roman"/>
          <w:sz w:val="24"/>
          <w:szCs w:val="24"/>
          <w:lang w:val="en-US"/>
        </w:rPr>
        <w:t>safety communications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92F8A">
        <w:rPr>
          <w:rFonts w:ascii="Times New Roman" w:hAnsi="Times New Roman"/>
          <w:sz w:val="24"/>
          <w:szCs w:val="24"/>
          <w:lang w:val="en-US"/>
        </w:rPr>
        <w:t>Direct Health</w:t>
      </w:r>
      <w:r>
        <w:rPr>
          <w:rFonts w:ascii="Times New Roman" w:hAnsi="Times New Roman"/>
          <w:sz w:val="24"/>
          <w:szCs w:val="24"/>
          <w:lang w:val="en-US"/>
        </w:rPr>
        <w:t>care</w:t>
      </w:r>
      <w:r w:rsidRPr="00392F8A">
        <w:rPr>
          <w:rFonts w:ascii="Times New Roman" w:hAnsi="Times New Roman"/>
          <w:sz w:val="24"/>
          <w:szCs w:val="24"/>
          <w:lang w:val="en-US"/>
        </w:rPr>
        <w:t xml:space="preserve"> Pr</w:t>
      </w:r>
      <w:r>
        <w:rPr>
          <w:rFonts w:ascii="Times New Roman" w:hAnsi="Times New Roman"/>
          <w:sz w:val="24"/>
          <w:szCs w:val="24"/>
          <w:lang w:val="en-US"/>
        </w:rPr>
        <w:t>ofessional Communications (DHPCs) and withdrawals)</w:t>
      </w:r>
      <w:r w:rsidRPr="007330D8">
        <w:rPr>
          <w:rFonts w:ascii="Times New Roman" w:hAnsi="Times New Roman"/>
          <w:sz w:val="24"/>
          <w:szCs w:val="24"/>
          <w:lang w:val="en-US"/>
        </w:rPr>
        <w:t xml:space="preserve"> were identified from any of the regulators after approval, the type of communication, and the safety concern described.</w:t>
      </w:r>
    </w:p>
    <w:p w:rsidR="00C07CC6" w:rsidRDefault="00C07CC6" w:rsidP="00C07CC6">
      <w:pPr>
        <w:rPr>
          <w:rFonts w:ascii="Times New Roman" w:hAnsi="Times New Roman"/>
          <w:sz w:val="24"/>
          <w:szCs w:val="24"/>
          <w:lang w:val="en-US"/>
        </w:rPr>
      </w:pPr>
      <w:r w:rsidRPr="00A364C4">
        <w:rPr>
          <w:rFonts w:ascii="Times New Roman" w:hAnsi="Times New Roman"/>
          <w:b/>
          <w:sz w:val="24"/>
          <w:szCs w:val="24"/>
          <w:lang w:val="en-US"/>
        </w:rPr>
        <w:t>Notes:</w:t>
      </w:r>
      <w:r>
        <w:rPr>
          <w:rFonts w:ascii="Times New Roman" w:hAnsi="Times New Roman"/>
          <w:sz w:val="24"/>
          <w:szCs w:val="24"/>
          <w:lang w:val="en-US"/>
        </w:rPr>
        <w:t xml:space="preserve"> W, drug withdrawal; X, DHPC; and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n/a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, non-applicable as medicine was never marketed in the country.</w:t>
      </w:r>
    </w:p>
    <w:tbl>
      <w:tblPr>
        <w:tblStyle w:val="Grilledutableau"/>
        <w:tblpPr w:leftFromText="141" w:rightFromText="141" w:vertAnchor="page" w:horzAnchor="page" w:tblpX="1527" w:tblpY="4479"/>
        <w:tblW w:w="14567" w:type="dxa"/>
        <w:tblLayout w:type="fixed"/>
        <w:tblLook w:val="04A0" w:firstRow="1" w:lastRow="0" w:firstColumn="1" w:lastColumn="0" w:noHBand="0" w:noVBand="1"/>
      </w:tblPr>
      <w:tblGrid>
        <w:gridCol w:w="2828"/>
        <w:gridCol w:w="1675"/>
        <w:gridCol w:w="5244"/>
        <w:gridCol w:w="993"/>
        <w:gridCol w:w="1275"/>
        <w:gridCol w:w="1560"/>
        <w:gridCol w:w="992"/>
      </w:tblGrid>
      <w:tr w:rsidR="00C07CC6" w:rsidRPr="00B96777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75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44" w:type="dxa"/>
          </w:tcPr>
          <w:p w:rsidR="00C07CC6" w:rsidRPr="00A364C4" w:rsidRDefault="00C07CC6" w:rsidP="00C07CC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Regulator Public Communication of Safety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Drug (</w:t>
            </w:r>
            <w:proofErr w:type="spellStart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  <w:proofErr w:type="spellEnd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common</w:t>
            </w:r>
            <w:proofErr w:type="spellEnd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  <w:proofErr w:type="spellEnd"/>
            <w:r w:rsidRPr="00501CD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675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Type of safety communication</w:t>
            </w:r>
          </w:p>
        </w:tc>
        <w:tc>
          <w:tcPr>
            <w:tcW w:w="5244" w:type="dxa"/>
          </w:tcPr>
          <w:p w:rsidR="00C07CC6" w:rsidRPr="00A364C4" w:rsidRDefault="00C07CC6" w:rsidP="00C07CC6">
            <w:pPr>
              <w:keepNext/>
              <w:keepLines/>
              <w:spacing w:before="200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Type of adverse event</w:t>
            </w:r>
          </w:p>
          <w:p w:rsidR="00C07CC6" w:rsidRPr="00A364C4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93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France</w:t>
            </w:r>
          </w:p>
        </w:tc>
        <w:tc>
          <w:tcPr>
            <w:tcW w:w="1275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United-Kingdom</w:t>
            </w:r>
          </w:p>
        </w:tc>
        <w:tc>
          <w:tcPr>
            <w:tcW w:w="1560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Netherlands</w:t>
            </w:r>
          </w:p>
        </w:tc>
        <w:tc>
          <w:tcPr>
            <w:tcW w:w="992" w:type="dxa"/>
          </w:tcPr>
          <w:p w:rsidR="00C07CC6" w:rsidRPr="00A364C4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b/>
                <w:lang w:val="en-US"/>
              </w:rPr>
            </w:pPr>
            <w:r w:rsidRPr="00A364C4">
              <w:rPr>
                <w:rFonts w:ascii="Times New Roman" w:hAnsi="Times New Roman" w:cs="Times New Roman"/>
                <w:b/>
                <w:lang w:val="en-US"/>
              </w:rPr>
              <w:t>Spain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Abilify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aripiprazole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Stroke </w:t>
            </w:r>
          </w:p>
        </w:tc>
        <w:tc>
          <w:tcPr>
            <w:tcW w:w="993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Acomplia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rimonabant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Withdrawal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Psychiatric effects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Adenuric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febuxostat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Hypersensitivity reactions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Aptivus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tipranavir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Intracranial hemorrhage 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Arixtra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fondaparinux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sodium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Bleeding events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Avastin/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bevacizumab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hAnsi="Times New Roman" w:cs="Times New Roman"/>
                <w:lang w:val="en-US"/>
              </w:rPr>
              <w:t>Tracheo</w:t>
            </w:r>
            <w:proofErr w:type="spellEnd"/>
            <w:r w:rsidRPr="00501CDE">
              <w:rPr>
                <w:rFonts w:ascii="Times New Roman" w:hAnsi="Times New Roman" w:cs="Times New Roman"/>
                <w:lang w:val="en-US"/>
              </w:rPr>
              <w:t>-esophageal fistula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Brinavess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vernakalant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hydrochloride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Risk of severe hypotension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lastRenderedPageBreak/>
              <w:t>Champix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varenicline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Depression and cardiovascular events</w:t>
            </w:r>
          </w:p>
        </w:tc>
        <w:tc>
          <w:tcPr>
            <w:tcW w:w="993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Cubicin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daptomycin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Eosinophilic pneumonia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Dynastat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parecoxib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Cardiovascular and skin toxicity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Efient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prasugrel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Hypersensitivity 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Enviage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aliskiren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3D4004">
              <w:rPr>
                <w:rFonts w:ascii="Times New Roman" w:hAnsi="Times New Roman"/>
                <w:lang w:val="en-US"/>
              </w:rPr>
              <w:t>Contraindication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Exjade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deferasirox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Liver and renal toxicity and </w:t>
            </w:r>
            <w:r w:rsidRPr="003D4004">
              <w:rPr>
                <w:rFonts w:ascii="Times New Roman" w:hAnsi="Times New Roman"/>
                <w:lang w:val="en-US"/>
              </w:rPr>
              <w:t xml:space="preserve"> gastrointestinal</w:t>
            </w:r>
            <w:r w:rsidRPr="00501CDE">
              <w:rPr>
                <w:rFonts w:ascii="Times New Roman" w:hAnsi="Times New Roman" w:cs="Times New Roman"/>
                <w:lang w:val="en-US"/>
              </w:rPr>
              <w:t xml:space="preserve">  hemorrhage </w:t>
            </w:r>
          </w:p>
        </w:tc>
        <w:tc>
          <w:tcPr>
            <w:tcW w:w="993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Glivec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imatinib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Preclinical carcinogenicity and heart failure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InductOs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dibotermin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alfa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Postoperative edema and infection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Intelence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etravirine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3D4004">
              <w:rPr>
                <w:rFonts w:ascii="Times New Roman" w:hAnsi="Times New Roman"/>
                <w:lang w:val="en-US"/>
              </w:rPr>
              <w:t>Drug Reaction with Eosinophilia and Systemic Symptoms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Kepivance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palifermin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Restricted indication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Ketek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telithromycin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Restriction use and new</w:t>
            </w:r>
            <w:r w:rsidRPr="003D4004">
              <w:rPr>
                <w:rFonts w:ascii="Times New Roman" w:hAnsi="Times New Roman"/>
                <w:lang w:val="en-US"/>
              </w:rPr>
              <w:t xml:space="preserve"> contraindication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Kineret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anakinra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Severe infection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lastRenderedPageBreak/>
              <w:t>MabCampath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alemtuzumab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Infection-related deaths in clinical trials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Mimpara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cinacalcet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Fatal cases of hypocalcaemia in pediatric trials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Multaq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dronedarone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Liver injury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Nplate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romiplostim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Warning of use in hepatic failure and risk of leukemia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Onglyza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saxagliptin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Hypersensitivity and acute pancreatitis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Tredaptive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laropiprant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nicotinic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acid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Withdrawal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Increased mortality in clinical trials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n/a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Pradaxa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dabigatran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etexilate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mesilate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New </w:t>
            </w:r>
            <w:r w:rsidRPr="003D4004">
              <w:rPr>
                <w:rFonts w:ascii="Times New Roman" w:hAnsi="Times New Roman"/>
                <w:lang w:val="en-US"/>
              </w:rPr>
              <w:t>contraindication</w:t>
            </w:r>
            <w:r w:rsidRPr="00501CDE">
              <w:rPr>
                <w:rFonts w:ascii="Times New Roman" w:hAnsi="Times New Roman" w:cs="Times New Roman"/>
                <w:lang w:val="en-US"/>
              </w:rPr>
              <w:t xml:space="preserve">  and need to assess renal function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Prolia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denosumab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Atypical femoral fracture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Protelos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/strontium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ranelate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3D4004">
              <w:rPr>
                <w:rFonts w:ascii="Times New Roman" w:hAnsi="Times New Roman"/>
                <w:lang w:val="en-US"/>
              </w:rPr>
              <w:t>Drug Reaction with Eosinophilia and Systemic Symptoms</w:t>
            </w:r>
            <w:r w:rsidRPr="00501CDE">
              <w:rPr>
                <w:rFonts w:ascii="Times New Roman" w:hAnsi="Times New Roman" w:cs="Times New Roman"/>
                <w:lang w:val="en-US"/>
              </w:rPr>
              <w:t xml:space="preserve"> and thrombosis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Protopic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tacrolimus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Increased risk of malignancies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Raptiva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efalizumab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Withdrawal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Peripheral neuropathy and</w:t>
            </w:r>
            <w:r w:rsidRPr="003D4004">
              <w:rPr>
                <w:rFonts w:ascii="Times New Roman" w:hAnsi="Times New Roman"/>
                <w:lang w:val="en-US"/>
              </w:rPr>
              <w:t xml:space="preserve"> Progressive Multifocal </w:t>
            </w:r>
            <w:proofErr w:type="spellStart"/>
            <w:r w:rsidRPr="003D4004">
              <w:rPr>
                <w:rFonts w:ascii="Times New Roman" w:hAnsi="Times New Roman"/>
                <w:lang w:val="en-US"/>
              </w:rPr>
              <w:t>Leukoencephalopathy</w:t>
            </w:r>
            <w:proofErr w:type="spellEnd"/>
          </w:p>
        </w:tc>
        <w:tc>
          <w:tcPr>
            <w:tcW w:w="993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lastRenderedPageBreak/>
              <w:t>Relistor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methylnaltrexone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bromide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Gastrointestinal perforation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Revlimid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lenalidomide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Thrombosis, malignancy and hepatic injury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RoActemra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tocilizumab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Hypersensitivity reaction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Sebivo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telbivudine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Peripheral neuropathy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Sprycel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dasatinib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Pulmonary hypertension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Sutent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sunitinib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Jaw osteonecrosis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Tarceva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erlotinib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Gastrointestinal perforation</w:t>
            </w:r>
          </w:p>
        </w:tc>
        <w:tc>
          <w:tcPr>
            <w:tcW w:w="993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 xml:space="preserve">Thalidomide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Celgene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/thalidomide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Arterial thrombosis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Thelin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sitaxentan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sodium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Withdrawal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Hepatotoxicity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Thymanax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agomelatine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Hepatotoxicity 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Torisel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temsirolimus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Hypersensitivity and infusion reaction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tabs>
                <w:tab w:val="left" w:pos="152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Tracleer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bosentan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501CDE">
              <w:rPr>
                <w:rFonts w:ascii="Times New Roman" w:eastAsia="Times New Roman" w:hAnsi="Times New Roman" w:cs="Times New Roman"/>
              </w:rPr>
              <w:lastRenderedPageBreak/>
              <w:t>monohydrate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lastRenderedPageBreak/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Hepatic injury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lastRenderedPageBreak/>
              <w:t>Trudexa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/adalimumab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T-cell </w:t>
            </w:r>
            <w:proofErr w:type="spellStart"/>
            <w:r w:rsidRPr="00501CDE">
              <w:rPr>
                <w:rFonts w:ascii="Times New Roman" w:hAnsi="Times New Roman" w:cs="Times New Roman"/>
                <w:lang w:val="en-US"/>
              </w:rPr>
              <w:t>hepatosplenic</w:t>
            </w:r>
            <w:proofErr w:type="spellEnd"/>
            <w:r w:rsidRPr="00501CDE">
              <w:rPr>
                <w:rFonts w:ascii="Times New Roman" w:hAnsi="Times New Roman" w:cs="Times New Roman"/>
                <w:lang w:val="en-US"/>
              </w:rPr>
              <w:t xml:space="preserve"> lymphoma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Tygacil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tigecycline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Increased mortality in trials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Tysabri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natalizumab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Hepatic injury and PML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Vectibix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panitumumab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Hypersensitivity reactions and keratitis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Velcade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bortezomib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New contraindications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Vfend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voriconazole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 xml:space="preserve">Hepatic injury and risk of carcinoma 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Viread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tenofovir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disoproxil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fumarate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Renal injury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Volibris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ambrisentan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Contraindicated in pulmonary fibrosis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Xagrid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anagrelide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Cardiovascular events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Xigris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drotrecogin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 xml:space="preserve"> alfa (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activated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Withdrawal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Benefits no longer outweigh risks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275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7CC6" w:rsidRPr="003D4004" w:rsidTr="00C07CC6">
        <w:tc>
          <w:tcPr>
            <w:tcW w:w="2828" w:type="dxa"/>
            <w:vAlign w:val="bottom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Zavesca</w:t>
            </w:r>
            <w:proofErr w:type="spellEnd"/>
            <w:r w:rsidRPr="00501CDE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01CDE">
              <w:rPr>
                <w:rFonts w:ascii="Times New Roman" w:eastAsia="Times New Roman" w:hAnsi="Times New Roman" w:cs="Times New Roman"/>
              </w:rPr>
              <w:t>miglustat</w:t>
            </w:r>
            <w:proofErr w:type="spellEnd"/>
          </w:p>
        </w:tc>
        <w:tc>
          <w:tcPr>
            <w:tcW w:w="1675" w:type="dxa"/>
          </w:tcPr>
          <w:p w:rsidR="00C07CC6" w:rsidRPr="00501CDE" w:rsidRDefault="00C07CC6" w:rsidP="00C07CC6">
            <w:pPr>
              <w:tabs>
                <w:tab w:val="left" w:pos="1524"/>
              </w:tabs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DHPC</w:t>
            </w:r>
          </w:p>
        </w:tc>
        <w:tc>
          <w:tcPr>
            <w:tcW w:w="5244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hAnsi="Times New Roman" w:cs="Times New Roman"/>
                <w:lang w:val="en-US"/>
              </w:rPr>
              <w:t>Colitis and colonic carcinomas in animals</w:t>
            </w:r>
          </w:p>
        </w:tc>
        <w:tc>
          <w:tcPr>
            <w:tcW w:w="993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275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501CDE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992" w:type="dxa"/>
            <w:vAlign w:val="center"/>
          </w:tcPr>
          <w:p w:rsidR="00C07CC6" w:rsidRPr="00501CDE" w:rsidRDefault="00C07CC6" w:rsidP="00C07CC6">
            <w:pPr>
              <w:keepNext/>
              <w:keepLines/>
              <w:tabs>
                <w:tab w:val="left" w:pos="1524"/>
              </w:tabs>
              <w:spacing w:before="20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C07CC6" w:rsidRDefault="00C07CC6" w:rsidP="00C07CC6">
      <w:pPr>
        <w:rPr>
          <w:rFonts w:ascii="Times New Roman" w:hAnsi="Times New Roman"/>
          <w:sz w:val="24"/>
          <w:szCs w:val="24"/>
          <w:lang w:val="en-US"/>
        </w:rPr>
      </w:pPr>
    </w:p>
    <w:p w:rsidR="00C07CC6" w:rsidRDefault="00C07CC6" w:rsidP="00C07CC6">
      <w:pPr>
        <w:rPr>
          <w:rFonts w:ascii="Times New Roman" w:hAnsi="Times New Roman"/>
          <w:sz w:val="24"/>
          <w:szCs w:val="24"/>
          <w:lang w:val="en-US"/>
        </w:rPr>
      </w:pPr>
    </w:p>
    <w:p w:rsidR="00B63A0D" w:rsidRDefault="00B63A0D" w:rsidP="00C07CC6"/>
    <w:p w:rsidR="00C07CC6" w:rsidRDefault="00C07CC6"/>
    <w:p w:rsidR="00C07CC6" w:rsidRDefault="00C07CC6"/>
    <w:sectPr w:rsidR="00C07CC6" w:rsidSect="00C07CC6">
      <w:pgSz w:w="16840" w:h="11901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6"/>
    <w:rsid w:val="00B63A0D"/>
    <w:rsid w:val="00B96777"/>
    <w:rsid w:val="00C07CC6"/>
    <w:rsid w:val="00E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CC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C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7CC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633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Jeremie Lefevre</dc:creator>
  <cp:keywords/>
  <dc:description/>
  <cp:lastModifiedBy>JD</cp:lastModifiedBy>
  <cp:revision>2</cp:revision>
  <dcterms:created xsi:type="dcterms:W3CDTF">2014-09-16T10:07:00Z</dcterms:created>
  <dcterms:modified xsi:type="dcterms:W3CDTF">2014-09-16T15:22:00Z</dcterms:modified>
</cp:coreProperties>
</file>