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F9" w:rsidRDefault="00A420F9" w:rsidP="00A420F9">
      <w:pPr>
        <w:spacing w:line="4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F077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Details of ITS sequences of fungal clones recovered by CI</w:t>
      </w:r>
      <w:r w:rsidRPr="0094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 </w:t>
      </w:r>
    </w:p>
    <w:p w:rsidR="00A420F9" w:rsidRPr="00006DD7" w:rsidRDefault="00A420F9" w:rsidP="00A420F9">
      <w:pPr>
        <w:spacing w:line="400" w:lineRule="exact"/>
        <w:jc w:val="left"/>
        <w:rPr>
          <w:rFonts w:ascii="Times New Roman" w:hAnsi="Times New Roman" w:cs="Times New Roman"/>
          <w:sz w:val="12"/>
          <w:szCs w:val="12"/>
        </w:rPr>
      </w:pPr>
    </w:p>
    <w:tbl>
      <w:tblPr>
        <w:tblStyle w:val="1"/>
        <w:tblW w:w="4686" w:type="pct"/>
        <w:tblLayout w:type="fixed"/>
        <w:tblLook w:val="04A0" w:firstRow="1" w:lastRow="0" w:firstColumn="1" w:lastColumn="0" w:noHBand="0" w:noVBand="1"/>
      </w:tblPr>
      <w:tblGrid>
        <w:gridCol w:w="727"/>
        <w:gridCol w:w="7"/>
        <w:gridCol w:w="793"/>
        <w:gridCol w:w="1163"/>
        <w:gridCol w:w="237"/>
        <w:gridCol w:w="3310"/>
        <w:gridCol w:w="1556"/>
        <w:gridCol w:w="684"/>
        <w:gridCol w:w="1262"/>
        <w:gridCol w:w="1089"/>
        <w:gridCol w:w="1521"/>
      </w:tblGrid>
      <w:tr w:rsidR="00A420F9" w:rsidRPr="00920B46" w:rsidTr="00967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</w:tcPr>
          <w:p w:rsidR="00A420F9" w:rsidRDefault="00A420F9" w:rsidP="00967E65"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/>
                <w:sz w:val="22"/>
              </w:rPr>
              <w:t>Sum</w:t>
            </w:r>
          </w:p>
          <w:p w:rsidR="00A420F9" w:rsidRPr="00920B46" w:rsidRDefault="00A420F9" w:rsidP="00967E65">
            <w:pPr>
              <w:spacing w:line="400" w:lineRule="exact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/>
                <w:sz w:val="22"/>
              </w:rPr>
              <w:t>(%)</w:t>
            </w:r>
            <w:r w:rsidRPr="00E90EE7">
              <w:rPr>
                <w:rFonts w:ascii="Times New Roman" w:hAnsi="Times New Roman" w:cs="Times New Roman"/>
                <w:sz w:val="22"/>
                <w:u w:val="single"/>
                <w:vertAlign w:val="superscript"/>
              </w:rPr>
              <w:t>a</w:t>
            </w:r>
          </w:p>
        </w:tc>
        <w:tc>
          <w:tcPr>
            <w:tcW w:w="324" w:type="pct"/>
            <w:gridSpan w:val="2"/>
          </w:tcPr>
          <w:p w:rsidR="00A420F9" w:rsidRPr="00920B46" w:rsidRDefault="00A420F9" w:rsidP="00967E65">
            <w:pPr>
              <w:spacing w:line="40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/>
                <w:sz w:val="22"/>
              </w:rPr>
              <w:t>OTU</w:t>
            </w:r>
            <w:r w:rsidRPr="00E90EE7">
              <w:rPr>
                <w:rFonts w:ascii="Times New Roman" w:hAnsi="Times New Roman" w:cs="Times New Roman"/>
                <w:sz w:val="22"/>
                <w:u w:val="single"/>
                <w:vertAlign w:val="superscript"/>
              </w:rPr>
              <w:t>b</w:t>
            </w:r>
          </w:p>
        </w:tc>
        <w:tc>
          <w:tcPr>
            <w:tcW w:w="471" w:type="pct"/>
          </w:tcPr>
          <w:p w:rsidR="00A420F9" w:rsidRPr="00920B46" w:rsidRDefault="00A420F9" w:rsidP="00967E65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/>
                <w:sz w:val="22"/>
              </w:rPr>
              <w:t>Accession no.</w:t>
            </w:r>
          </w:p>
        </w:tc>
        <w:tc>
          <w:tcPr>
            <w:tcW w:w="3295" w:type="pct"/>
            <w:gridSpan w:val="6"/>
            <w:tcBorders>
              <w:bottom w:val="single" w:sz="4" w:space="0" w:color="auto"/>
            </w:tcBorders>
          </w:tcPr>
          <w:p w:rsidR="00A420F9" w:rsidRPr="00920B46" w:rsidRDefault="00A420F9" w:rsidP="00967E65">
            <w:pPr>
              <w:spacing w:line="400" w:lineRule="exact"/>
              <w:ind w:firstLineChars="784" w:firstLine="17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 w:hint="eastAsia"/>
                <w:sz w:val="22"/>
              </w:rPr>
              <w:t>Best BLAST hit</w:t>
            </w:r>
          </w:p>
          <w:p w:rsidR="00A420F9" w:rsidRPr="00920B46" w:rsidRDefault="00A420F9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01706BF" wp14:editId="0E6A7F5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634</wp:posOffset>
                      </wp:positionV>
                      <wp:extent cx="5120640" cy="0"/>
                      <wp:effectExtent l="0" t="0" r="22860" b="190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0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F0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6.3pt;margin-top:.05pt;width:403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2L/QEAAMYDAAAOAAAAZHJzL2Uyb0RvYy54bWysU02P2jAQvVfqf7B8hyQ0sBARVqsAvWxb&#10;pN3+AGM7idXEY9mGgKr+947NR7ftrWoO1tgz82bmvcny8dR35CitU6BLmo1TSqTmIJRuSvr1dTua&#10;U+I804J1oGVJz9LRx9X7d8vBFHICLXRCWoIg2hWDKWnrvSmSxPFW9syNwUiNzhpszzxebZMIywZE&#10;77tkkqazZAArjAUuncPX9cVJVxG/riX3X+raSU+6kmJvPp42nvtwJqslKxrLTKv4tQ32D130TGks&#10;eodaM8/Iwaq/oHrFLTio/ZhDn0BdKy7jDDhNlv4xzUvLjIyzIDnO3Gly/w+Wfz7uLFGipDklmvUo&#10;0dPBQ6xMHgI9g3EFRlV6Z8OA/KRfzDPwb45oqFqmGxmDX88Gc7OQkfyWEi7OYJH98AkExjDEj1yd&#10;atsHSGSBnKIk57sk8uQJx8dpNklnOSrHb76EFbdEY53/KKEnwSip85appvUVaI3Cg81iGXZ8dj60&#10;xYpbQqiqYau6LurfaTKUdDGdTGOCg06J4Axhzjb7qrPkyMIGxS/OiJ63YRYOWkSwVjKxudqeqe5i&#10;Y/FOBzwcDNu5WpcV+b5IF5v5Zp6P8slsM8pTIUZP2yofzbbZw3T9YV1V6+zHteotP5IceL0otAdx&#10;3tkb+bgscd7rYodtfHuPEv36/VY/AQAA//8DAFBLAwQUAAYACAAAACEAbiJc5tgAAAAEAQAADwAA&#10;AGRycy9kb3ducmV2LnhtbEyPQUvDQBCF74L/YRnBi9hNApY2ZlOK4MGjbcHrNDsm0exsyG6a2F/v&#10;5KTHN+/x5nvFbnadutAQWs8G0lUCirjytuXawOn4+rgBFSKyxc4zGfihALvy9qbA3PqJ3+lyiLWS&#10;Eg45Gmhi7HOtQ9WQw7DyPbF4n35wGEUOtbYDTlLuOp0lyVo7bFk+NNjTS0PV92F0BiiMT2my37r6&#10;9HadHj6y69fUH425v5v3z6AizfEvDAu+oEMpTGc/sg2qE52tJbnclbibdCvLzovUZaH/w5e/AAAA&#10;//8DAFBLAQItABQABgAIAAAAIQC2gziS/gAAAOEBAAATAAAAAAAAAAAAAAAAAAAAAABbQ29udGVu&#10;dF9UeXBlc10ueG1sUEsBAi0AFAAGAAgAAAAhADj9If/WAAAAlAEAAAsAAAAAAAAAAAAAAAAALwEA&#10;AF9yZWxzLy5yZWxzUEsBAi0AFAAGAAgAAAAhAL4QDYv9AQAAxgMAAA4AAAAAAAAAAAAAAAAALgIA&#10;AGRycy9lMm9Eb2MueG1sUEsBAi0AFAAGAAgAAAAhAG4iXObYAAAABAEAAA8AAAAAAAAAAAAAAAAA&#10;VwQAAGRycy9kb3ducmV2LnhtbFBLBQYAAAAABAAEAPMAAABc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920B46">
              <w:rPr>
                <w:rFonts w:ascii="Times New Roman" w:hAnsi="Times New Roman" w:cs="Times New Roman"/>
                <w:sz w:val="22"/>
              </w:rPr>
              <w:t>Taxon</w:t>
            </w:r>
            <w:r w:rsidRPr="00920B46">
              <w:rPr>
                <w:rFonts w:ascii="Times New Roman" w:hAnsi="Times New Roman" w:cs="Times New Roman" w:hint="eastAsia"/>
                <w:sz w:val="22"/>
              </w:rPr>
              <w:t xml:space="preserve">           </w:t>
            </w:r>
            <w:r w:rsidRPr="00920B46">
              <w:rPr>
                <w:rFonts w:ascii="Times New Roman" w:hAnsi="Times New Roman" w:cs="Times New Roman"/>
                <w:sz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</w:t>
            </w:r>
            <w:r w:rsidRPr="00920B46">
              <w:rPr>
                <w:rFonts w:ascii="Times New Roman" w:hAnsi="Times New Roman" w:cs="Times New Roman"/>
                <w:sz w:val="22"/>
              </w:rPr>
              <w:t xml:space="preserve">Phylum </w:t>
            </w:r>
            <w:r w:rsidRPr="00920B4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</w:t>
            </w:r>
            <w:r w:rsidRPr="00920B46">
              <w:rPr>
                <w:rFonts w:ascii="Times New Roman" w:hAnsi="Times New Roman" w:cs="Times New Roman"/>
                <w:sz w:val="22"/>
              </w:rPr>
              <w:t>Score</w:t>
            </w:r>
            <w:r w:rsidRPr="00920B46">
              <w:rPr>
                <w:rFonts w:ascii="Times New Roman" w:hAnsi="Times New Roman" w:cs="Times New Roman" w:hint="eastAsia"/>
                <w:sz w:val="22"/>
                <w:u w:val="single"/>
                <w:vertAlign w:val="superscript"/>
              </w:rPr>
              <w:t>c</w:t>
            </w:r>
            <w:r w:rsidRPr="00920B46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920B4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Acc.</w:t>
            </w:r>
            <w:r w:rsidRPr="00920B46">
              <w:rPr>
                <w:rFonts w:ascii="Times New Roman" w:hAnsi="Times New Roman" w:cs="Times New Roman"/>
                <w:sz w:val="22"/>
              </w:rPr>
              <w:t xml:space="preserve"> no.</w:t>
            </w:r>
            <w:r w:rsidRPr="00920B46">
              <w:rPr>
                <w:rFonts w:ascii="Times New Roman" w:hAnsi="Times New Roman" w:cs="Times New Roman" w:hint="eastAsia"/>
                <w:sz w:val="22"/>
                <w:u w:val="single"/>
                <w:vertAlign w:val="superscript"/>
              </w:rPr>
              <w:t>d</w:t>
            </w:r>
            <w:r w:rsidRPr="00920B46">
              <w:rPr>
                <w:rFonts w:ascii="Times New Roman" w:hAnsi="Times New Roman" w:cs="Times New Roman"/>
                <w:noProof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   </w:t>
            </w:r>
            <w:r w:rsidRPr="00920B46">
              <w:rPr>
                <w:rFonts w:ascii="Times New Roman" w:hAnsi="Times New Roman" w:cs="Times New Roman"/>
                <w:noProof/>
                <w:sz w:val="22"/>
              </w:rPr>
              <w:t>Coverage</w:t>
            </w:r>
            <w:r w:rsidRPr="00920B46">
              <w:rPr>
                <w:rFonts w:ascii="Times New Roman" w:hAnsi="Times New Roman" w:cs="Times New Roman"/>
                <w:noProof/>
                <w:sz w:val="22"/>
                <w:u w:val="single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u w:val="single"/>
                <w:vertAlign w:val="superscript"/>
              </w:rPr>
              <w:t>e</w:t>
            </w: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:rsidR="00A420F9" w:rsidRPr="00920B46" w:rsidRDefault="00A420F9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20B46">
              <w:rPr>
                <w:rFonts w:ascii="Times New Roman" w:hAnsi="Times New Roman" w:cs="Times New Roman" w:hint="eastAsia"/>
                <w:sz w:val="22"/>
              </w:rPr>
              <w:t>%</w:t>
            </w:r>
            <w:r w:rsidRPr="00920B46">
              <w:rPr>
                <w:rFonts w:ascii="Times New Roman" w:hAnsi="Times New Roman" w:cs="Times New Roman"/>
                <w:sz w:val="22"/>
              </w:rPr>
              <w:t>Similiarity</w:t>
            </w:r>
            <w:r>
              <w:rPr>
                <w:rFonts w:ascii="Times New Roman" w:hAnsi="Times New Roman" w:cs="Times New Roman"/>
                <w:sz w:val="22"/>
                <w:u w:val="single"/>
                <w:vertAlign w:val="superscript"/>
              </w:rPr>
              <w:t>f</w:t>
            </w:r>
          </w:p>
          <w:p w:rsidR="00A420F9" w:rsidRPr="00920B46" w:rsidRDefault="00A420F9" w:rsidP="00967E65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20F9" w:rsidRPr="004628DC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4628DC" w:rsidRDefault="00A420F9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S01-02   JX898552</w:t>
            </w:r>
          </w:p>
        </w:tc>
        <w:tc>
          <w:tcPr>
            <w:tcW w:w="96" w:type="pct"/>
          </w:tcPr>
          <w:p w:rsidR="00A420F9" w:rsidRPr="004628DC" w:rsidRDefault="00A420F9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  <w:r w:rsidRPr="00462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28DC">
              <w:rPr>
                <w:rFonts w:ascii="Times New Roman" w:hAnsi="Times New Roman" w:cs="Times New Roman"/>
                <w:i/>
                <w:sz w:val="20"/>
                <w:szCs w:val="20"/>
              </w:rPr>
              <w:t>Trichosporon</w:t>
            </w:r>
            <w:r w:rsidRPr="004628DC">
              <w:rPr>
                <w:rFonts w:ascii="Times New Roman" w:hAnsi="Times New Roman" w:cs="Times New Roman"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11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AB180201</w:t>
            </w:r>
          </w:p>
        </w:tc>
        <w:tc>
          <w:tcPr>
            <w:tcW w:w="44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616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A420F9" w:rsidRPr="004628DC" w:rsidTr="00967E65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4628DC" w:rsidRDefault="00A420F9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S01-05   JX898607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spacing w:line="4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1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JQ666464</w:t>
            </w:r>
          </w:p>
        </w:tc>
        <w:tc>
          <w:tcPr>
            <w:tcW w:w="440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616" w:type="pct"/>
          </w:tcPr>
          <w:p w:rsidR="00A420F9" w:rsidRPr="004628D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92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JX898609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EU517006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  <w:vAlign w:val="bottom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783A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EF635761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EF392540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Hyaloraphidium 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AY997055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S07-05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Sympodiomyces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CC42AF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HQ623607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  <w:vAlign w:val="bottom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6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2783A"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HQ630349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S01-19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  JX898559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Verrucariales </w:t>
            </w:r>
            <w:r w:rsidRPr="00297C2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sp.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HQ022024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JX605057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FM178265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JX605055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i/>
                <w:sz w:val="20"/>
                <w:szCs w:val="20"/>
              </w:rPr>
              <w:t>Trichosporon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FJ943427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EU489943</w:t>
            </w:r>
          </w:p>
        </w:tc>
        <w:tc>
          <w:tcPr>
            <w:tcW w:w="440" w:type="pct"/>
            <w:vAlign w:val="center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JX974777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JX605066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Uncultured</w:t>
            </w:r>
            <w:r w:rsidRPr="00297C26"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 xml:space="preserve"> Debaryomyces </w:t>
            </w:r>
            <w:r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  <w:t>sp.</w:t>
            </w:r>
            <w:r w:rsidRPr="00297C26">
              <w:rPr>
                <w:rFonts w:ascii="Times New Roman" w:eastAsia="SimSun" w:hAnsi="Times New Roman" w:cs="Times New Roman"/>
                <w:iCs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KC111444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JX898565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FM178265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JX898572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i/>
                <w:sz w:val="20"/>
                <w:szCs w:val="20"/>
              </w:rPr>
              <w:t>Trichosporon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777024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HF558657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S02-38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JX898573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8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HQ211948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JX898575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BB58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Ganoderma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clone 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9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JN048773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JX605097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497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JQ666392</w:t>
            </w:r>
          </w:p>
        </w:tc>
        <w:tc>
          <w:tcPr>
            <w:tcW w:w="440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JX898576   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Penicillium sp.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JX270368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04-34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JX605106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JQ666392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JX898577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anchor="alnHdr_298257779" w:tooltip="Go to alignment for Uncultured Glomeromycota clone 3.2B 18S ribosomal RNA gene, partial sequence; internal transcribed spacer 1, 5.8S ribosomal RNA gene, and internal transcribed spacer 2, complete sequence; and 28S ribosomal RNA gene, partial sequence" w:history="1"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Uncultured Glomeromycota clone </w:t>
              </w:r>
            </w:hyperlink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Glomeromycota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GU392007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JX898578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Trichosporon dulcitum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1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HM136684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JX605117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Thamnidium elegans</w:t>
            </w:r>
            <w:r w:rsidRPr="00297C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AB113025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JX605120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Chrysosporium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AM949568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JX898582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>Uncultured Pseudeurotiaceae sp. 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JX270610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JX605122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Geomyces 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>sp. clone</w:t>
            </w:r>
          </w:p>
        </w:tc>
        <w:tc>
          <w:tcPr>
            <w:tcW w:w="630" w:type="pct"/>
          </w:tcPr>
          <w:p w:rsidR="00A420F9" w:rsidRPr="00EC707A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HQ211533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JX898584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Trichosporon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HF558657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EF635761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JX605145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Uncultured Ascomycota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HQ211979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EF434057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JX605146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AJ920022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JX605148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972B4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72B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972B4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Penicillium brevicompactum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HM469408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JX898613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Chytridiomycota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EU480336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JX898619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JQ313110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JX898620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Leptodiscella sp.clone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FR821312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JX898621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HQ693513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JX898622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EU825633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JQ681169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JX898623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DQ421220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JX898624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EU517006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420F9" w:rsidRPr="000826DE" w:rsidTr="00967E6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JX675217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Exophiala dermatitidis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CC42AF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511" w:type="pct"/>
          </w:tcPr>
          <w:p w:rsidR="00A420F9" w:rsidRPr="00D44C1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GU942305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0B6301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HQ829352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JX898603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HQ829349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JX605210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Lycoperdon pyriforme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AY854075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EU718671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S07-23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JX898600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6965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Mortierella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Finse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AJ541798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JQ666448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JX605151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tremellomycete clone</w:t>
            </w:r>
          </w:p>
        </w:tc>
        <w:tc>
          <w:tcPr>
            <w:tcW w:w="630" w:type="pct"/>
          </w:tcPr>
          <w:p w:rsidR="00A420F9" w:rsidRPr="00CC42AF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511" w:type="pct"/>
          </w:tcPr>
          <w:p w:rsidR="00A420F9" w:rsidRPr="00D44C1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EU030394</w:t>
            </w:r>
          </w:p>
        </w:tc>
        <w:tc>
          <w:tcPr>
            <w:tcW w:w="440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EU516682</w:t>
            </w:r>
          </w:p>
        </w:tc>
        <w:tc>
          <w:tcPr>
            <w:tcW w:w="440" w:type="pct"/>
          </w:tcPr>
          <w:p w:rsidR="00A420F9" w:rsidRPr="005F3395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pct"/>
          </w:tcPr>
          <w:p w:rsidR="00A420F9" w:rsidRPr="005F3395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0.41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JX605203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EU754961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S11-03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JX605211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Ganoderma 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sp. clone</w:t>
            </w:r>
          </w:p>
        </w:tc>
        <w:tc>
          <w:tcPr>
            <w:tcW w:w="630" w:type="pct"/>
          </w:tcPr>
          <w:p w:rsidR="00A420F9" w:rsidRPr="00CC42AF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11" w:type="pct"/>
          </w:tcPr>
          <w:p w:rsidR="00A420F9" w:rsidRPr="00D44C1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AF255097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4628DC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4628DC" w:rsidRDefault="00A420F9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S01-01   JX605050</w:t>
            </w:r>
          </w:p>
        </w:tc>
        <w:tc>
          <w:tcPr>
            <w:tcW w:w="96" w:type="pct"/>
          </w:tcPr>
          <w:p w:rsidR="00A420F9" w:rsidRPr="004628DC" w:rsidRDefault="00A420F9" w:rsidP="00967E65">
            <w:pPr>
              <w:spacing w:line="4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soil fungus clone</w:t>
            </w:r>
          </w:p>
        </w:tc>
        <w:tc>
          <w:tcPr>
            <w:tcW w:w="63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511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GU083255</w:t>
            </w:r>
          </w:p>
        </w:tc>
        <w:tc>
          <w:tcPr>
            <w:tcW w:w="440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4628D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4628DC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JX898554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3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JX270390 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JX898557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Uncultured Ascomycota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HM240007</w:t>
            </w:r>
          </w:p>
        </w:tc>
        <w:tc>
          <w:tcPr>
            <w:tcW w:w="440" w:type="pct"/>
            <w:vAlign w:val="center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JX605067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4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hypsicladia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HQ630302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JX605127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Gymnoascus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EC707A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JX270524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S07-09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JX605168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Paecilomyces inflatus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CC42AF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511" w:type="pct"/>
          </w:tcPr>
          <w:p w:rsidR="00A420F9" w:rsidRPr="00D44C1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GU566291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S06-23   JX605152    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Thamnidium elegans</w:t>
            </w:r>
            <w:r w:rsidRPr="00297C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511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AB113013</w:t>
            </w:r>
          </w:p>
        </w:tc>
        <w:tc>
          <w:tcPr>
            <w:tcW w:w="440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0.83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JX898612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FJ528704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1.24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JX898562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5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 xml:space="preserve"> Gymnoascus 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JX270593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1.24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JX898601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EF635761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1.24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JX605149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Mortierella cf. gamsii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511" w:type="pct"/>
          </w:tcPr>
          <w:p w:rsidR="00A420F9" w:rsidRPr="00D44C1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HQ630307</w:t>
            </w:r>
          </w:p>
        </w:tc>
        <w:tc>
          <w:tcPr>
            <w:tcW w:w="440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5F3395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1.24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JX898595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EU516682</w:t>
            </w:r>
          </w:p>
        </w:tc>
        <w:tc>
          <w:tcPr>
            <w:tcW w:w="440" w:type="pct"/>
          </w:tcPr>
          <w:p w:rsidR="00A420F9" w:rsidRPr="005F3395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16" w:type="pct"/>
          </w:tcPr>
          <w:p w:rsidR="00A420F9" w:rsidRPr="005F3395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3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spacing w:line="40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1.66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S01-06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JX605052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6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JX270478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7C26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1.66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JX605128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Uncultured fungus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07A">
              <w:rPr>
                <w:rFonts w:ascii="Times New Roman" w:hAnsi="Times New Roman" w:cs="Times New Roman"/>
                <w:sz w:val="20"/>
                <w:szCs w:val="20"/>
              </w:rPr>
              <w:t>Chytridiomycota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EU480016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2.07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S09-09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JX605204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7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GU327518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2.07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*S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JX605069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Helicostylum pulchrum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JQ319049</w:t>
            </w:r>
          </w:p>
        </w:tc>
        <w:tc>
          <w:tcPr>
            <w:tcW w:w="44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2.90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S05-30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JX605132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Chaetomium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sp. 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GU934510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2.90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S06-14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JX605147</w:t>
            </w:r>
          </w:p>
        </w:tc>
        <w:tc>
          <w:tcPr>
            <w:tcW w:w="96" w:type="pct"/>
          </w:tcPr>
          <w:p w:rsidR="00A420F9" w:rsidRPr="00972B4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1C2B93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Uncultured </w:t>
            </w:r>
            <w:r w:rsidRPr="001C2B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Geomyces pannorum</w:t>
            </w:r>
            <w:r w:rsidRPr="001C2B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Ascomycota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511" w:type="pct"/>
          </w:tcPr>
          <w:p w:rsidR="00A420F9" w:rsidRPr="00801419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JF311913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8.29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S02-19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JX898566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18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777024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511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JX270382</w:t>
            </w:r>
          </w:p>
        </w:tc>
        <w:tc>
          <w:tcPr>
            <w:tcW w:w="440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420F9" w:rsidRPr="000826DE" w:rsidTr="00967E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17.84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S04-33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JX605105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 xml:space="preserve">Uncultured </w:t>
            </w:r>
            <w:r w:rsidRPr="00297C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Trichosporon dulcitum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hyperlink r:id="rId19" w:tooltip="Basidiomycota" w:history="1">
              <w:r w:rsidRPr="00777024">
                <w:rPr>
                  <w:rFonts w:ascii="Times New Roman" w:hAnsi="Times New Roman" w:cs="Times New Roman"/>
                  <w:sz w:val="20"/>
                  <w:szCs w:val="20"/>
                </w:rPr>
                <w:t>Basidiomycota</w:t>
              </w:r>
            </w:hyperlink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HF558657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0D5EEC" w:rsidRDefault="00A420F9" w:rsidP="00967E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20F9" w:rsidRPr="000826DE" w:rsidTr="00967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" w:type="pct"/>
            <w:gridSpan w:val="2"/>
          </w:tcPr>
          <w:p w:rsidR="00A420F9" w:rsidRPr="000D5EEC" w:rsidRDefault="00A420F9" w:rsidP="00967E65">
            <w:pPr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26.97</w:t>
            </w:r>
          </w:p>
        </w:tc>
        <w:tc>
          <w:tcPr>
            <w:tcW w:w="792" w:type="pct"/>
            <w:gridSpan w:val="2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S07-15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JX605174</w:t>
            </w:r>
          </w:p>
        </w:tc>
        <w:tc>
          <w:tcPr>
            <w:tcW w:w="96" w:type="pct"/>
          </w:tcPr>
          <w:p w:rsidR="00A420F9" w:rsidRPr="000D5EEC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Uncultured </w:t>
            </w:r>
            <w:hyperlink r:id="rId20" w:anchor="alnHdr_411031012" w:tooltip="Go to alignment for Mortierella sp. 15PA03 18S ribosomal RNA, partial sequence; internal transcribed spacer 1, 5.8S ribosomal RNA, and internal transcribed spacer 2, complete sequence; and 28S ribosomal RNA, partial sequence" w:history="1">
              <w:r w:rsidRPr="00297C26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Mortierella</w:t>
              </w:r>
              <w:r w:rsidRPr="00297C26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sp. </w:t>
              </w:r>
            </w:hyperlink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clone</w:t>
            </w:r>
          </w:p>
        </w:tc>
        <w:tc>
          <w:tcPr>
            <w:tcW w:w="63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EDFL</w:t>
            </w:r>
          </w:p>
        </w:tc>
        <w:tc>
          <w:tcPr>
            <w:tcW w:w="277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1058</w:t>
            </w:r>
          </w:p>
        </w:tc>
        <w:tc>
          <w:tcPr>
            <w:tcW w:w="511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AJ541798</w:t>
            </w:r>
          </w:p>
        </w:tc>
        <w:tc>
          <w:tcPr>
            <w:tcW w:w="440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pct"/>
          </w:tcPr>
          <w:p w:rsidR="00A420F9" w:rsidRPr="00297C26" w:rsidRDefault="00A420F9" w:rsidP="00967E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7C2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a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Relative abundance for the combined libraries, which was used to sort the entries</w:t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b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 xml:space="preserve">OTUs were characterized by Mothur platform 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&lt;EndNote&gt;&lt;Cite&gt;&lt;Author&gt;Schloss&lt;/Author&gt;&lt;Year&gt;2009&lt;/Year&gt;&lt;RecNum&gt;10&lt;/RecNum&gt;&lt;record&gt;&lt;rec-number&gt;10&lt;/rec-number&gt;&lt;foreign-keys&gt;&lt;key app="EN" db-id="9tw9pw2rc9ev23ese295wad1faxssdevpvr2"&gt;10&lt;/key&gt;&lt;/foreign-keys&gt;&lt;ref-type name="Journal Article"&gt;17&lt;/ref-type&gt;&lt;contributors&gt;&lt;authors&gt;&lt;author&gt;Schloss, P. D.&lt;/author&gt;&lt;author&gt;Westcott, S. L.&lt;/author&gt;&lt;author&gt;Ryabin, T.&lt;/author&gt;&lt;author&gt;Hall, J. R.&lt;/author&gt;&lt;author&gt;Hartmann, M.&lt;/author&gt;&lt;author&gt;Hollister, E. B.&lt;/author&gt;&lt;author&gt;Lesniewski, R. A.&lt;/author&gt;&lt;author&gt;Oakley, B. B.&lt;/author&gt;&lt;author&gt;Parks, D. H.&lt;/author&gt;&lt;author&gt;Robinson, C. J.&lt;/author&gt;&lt;author&gt;Sahl, J. W.&lt;/author&gt;&lt;author&gt;Stres, B.&lt;/author&gt;&lt;author&gt;Thallinger, G. G.&lt;/author&gt;&lt;author&gt;Van Horn, D. J.&lt;/author&gt;&lt;author&gt;Weber, C. F.&lt;/author&gt;&lt;/authors&gt;&lt;/contributors&gt;&lt;auth-address&gt;Department of Microbiology and Immunology, University of Michigan, Ann Arbor, MI 48109, USA. pschloss@umich.edu&lt;/auth-address&gt;&lt;titles&gt;&lt;title&gt;Introducing mothur: open-source, platform-independent, community-supported software for describing and comparing microbial communities&lt;/title&gt;&lt;secondary-title&gt;Appl Environ Microbiol&lt;/secondary-title&gt;&lt;/titles&gt;&lt;periodical&gt;&lt;full-title&gt;Appl Environ Microbiol&lt;/full-title&gt;&lt;/periodical&gt;&lt;pages&gt;7537-41&lt;/pages&gt;&lt;volume&gt;75&lt;/volume&gt;&lt;number&gt;23&lt;/number&gt;&lt;edition&gt;2009/10/06&lt;/edition&gt;&lt;keywords&gt;&lt;keyword&gt;*Biodiversity&lt;/keyword&gt;&lt;keyword&gt;Computational Biology/*methods&lt;/keyword&gt;&lt;keyword&gt;Environmental Microbiology&lt;/keyword&gt;&lt;keyword&gt;Metagenomics/*methods&lt;/keyword&gt;&lt;keyword&gt;Sequence Analysis, DNA&lt;/keyword&gt;&lt;keyword&gt;*Software&lt;/keyword&gt;&lt;/keywords&gt;&lt;dates&gt;&lt;year&gt;2009&lt;/year&gt;&lt;pub-dates&gt;&lt;date&gt;Dec&lt;/date&gt;&lt;/pub-dates&gt;&lt;/dates&gt;&lt;isbn&gt;1098-5336 (Electronic)&amp;#xD;0099-2240 (Linking)&lt;/isbn&gt;&lt;accession-num&gt;19801464&lt;/accession-num&gt;&lt;urls&gt;&lt;related-urls&gt;&lt;url&gt;http://www.ncbi.nlm.nih.gov/entrez/query.fcgi?cmd=Retrieve&amp;amp;db=PubMed&amp;amp;dopt=Citation&amp;amp;list_uids=19801464&lt;/url&gt;&lt;/related-urls&gt;&lt;/urls&gt;&lt;electronic-resource-num&gt;AEM.01541-09 [pii]&amp;#xD;10.1128/AEM.01541-09&lt;/electronic-resource-num&gt;&lt;language&gt;eng&lt;/language&gt;&lt;/record&gt;&lt;/Cite&gt;&lt;/EndNote&gt;</w:instrTex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[1]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, the OTU is ≥97% similar to a fungal isolate</w:t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c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 xml:space="preserve">BLASTN 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 xml:space="preserve"> score value</w:t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d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Accession number of the closest database match</w:t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e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Coverage of pairwise alignment of the closest database match</w:t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121660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f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 xml:space="preserve">Level of similarity for pairwise alignments with the closest match, using the Martinez-Needleman-Wunsch algorithm 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begin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instrText xml:space="preserve"> ADDIN EN.CITE &lt;EndNote&gt;&lt;Cite&gt;&lt;Author&gt;Altschul&lt;/Author&gt;&lt;Year&gt;1997&lt;/Year&gt;&lt;RecNum&gt;7&lt;/RecNum&gt;&lt;record&gt;&lt;rec-number&gt;7&lt;/rec-number&gt;&lt;foreign-keys&gt;&lt;key app="EN" db-id="9tw9pw2rc9ev23ese295wad1faxssdevpvr2"&gt;7&lt;/key&gt;&lt;/foreign-keys&gt;&lt;ref-type name="Journal Article"&gt;17&lt;/ref-type&gt;&lt;contributors&gt;&lt;authors&gt;&lt;author&gt;Altschul, S. F.&lt;/author&gt;&lt;author&gt;Madden, T. L.&lt;/author&gt;&lt;author&gt;Schaffer, A. A.&lt;/author&gt;&lt;author&gt;Zhang, J.&lt;/author&gt;&lt;author&gt;Zhang, Z.&lt;/author&gt;&lt;author&gt;Miller, W.&lt;/author&gt;&lt;author&gt;Lipman, D. J.&lt;/author&gt;&lt;/authors&gt;&lt;/contributors&gt;&lt;auth-address&gt;National Center for Biotechnology Information, National Library of Medicine, National Institutes of Health, Bethesda, MD 20894, USA. altschul@ncbi.nlm.nih.gov&lt;/auth-address&gt;&lt;titles&gt;&lt;title&gt;Gapped BLAST and PSI-BLAST: a new generation of protein database search programs&lt;/title&gt;&lt;secondary-title&gt;Nucleic Acids Res&lt;/secondary-title&gt;&lt;/titles&gt;&lt;periodical&gt;&lt;full-title&gt;Nucleic Acids Res&lt;/full-title&gt;&lt;/periodical&gt;&lt;pages&gt;3389-402&lt;/pages&gt;&lt;volume&gt;25&lt;/volume&gt;&lt;number&gt;17&lt;/number&gt;&lt;edition&gt;1997/09/01&lt;/edition&gt;&lt;keywords&gt;&lt;keyword&gt;Algorithms&lt;/keyword&gt;&lt;keyword&gt;Amino Acid Sequence&lt;/keyword&gt;&lt;keyword&gt;Animals&lt;/keyword&gt;&lt;keyword&gt;DNA/*chemistry&lt;/keyword&gt;&lt;keyword&gt;*Databases, Factual&lt;/keyword&gt;&lt;keyword&gt;Humans&lt;/keyword&gt;&lt;keyword&gt;Molecular Sequence Data&lt;/keyword&gt;&lt;keyword&gt;Proteins/*chemistry&lt;/keyword&gt;&lt;keyword&gt;*Sequence Alignment&lt;/keyword&gt;&lt;keyword&gt;*Software&lt;/keyword&gt;&lt;/keywords&gt;&lt;dates&gt;&lt;year&gt;1997&lt;/year&gt;&lt;pub-dates&gt;&lt;date&gt;Sep 1&lt;/date&gt;&lt;/pub-dates&gt;&lt;/dates&gt;&lt;isbn&gt;0305-1048 (Print)&amp;#xD;0305-1048 (Linking)&lt;/isbn&gt;&lt;accession-num&gt;9254694&lt;/accession-num&gt;&lt;urls&gt;&lt;related-urls&gt;&lt;url&gt;http://www.ncbi.nlm.nih.gov/entrez/query.fcgi?cmd=Retrieve&amp;amp;db=PubMed&amp;amp;dopt=Citation&amp;amp;list_uids=9254694&lt;/url&gt;&lt;/related-urls&gt;&lt;/urls&gt;&lt;electronic-resource-num&gt;gka562 [pii]&lt;/electronic-resource-num&gt;&lt;language&gt;eng&lt;/language&gt;&lt;/record&gt;&lt;/Cite&gt;&lt;/EndNote&gt;</w:instrTex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separate"/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t>[2]</w:t>
      </w:r>
      <w:r w:rsidRPr="00121660">
        <w:rPr>
          <w:rFonts w:ascii="Times New Roman" w:eastAsia="SimSun" w:hAnsi="Times New Roman" w:cs="Times New Roman"/>
          <w:kern w:val="0"/>
          <w:sz w:val="24"/>
          <w:szCs w:val="24"/>
        </w:rPr>
        <w:fldChar w:fldCharType="end"/>
      </w:r>
    </w:p>
    <w:p w:rsidR="00A420F9" w:rsidRPr="00121660" w:rsidRDefault="00A420F9" w:rsidP="00A420F9">
      <w:pPr>
        <w:widowControl/>
        <w:shd w:val="clear" w:color="auto" w:fill="FFFFFF"/>
        <w:spacing w:line="360" w:lineRule="auto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 w:rsidRPr="00C6010E">
        <w:rPr>
          <w:rFonts w:ascii="Times New Roman" w:eastAsia="SimSun" w:hAnsi="Times New Roman" w:cs="Times New Roman"/>
          <w:kern w:val="0"/>
          <w:sz w:val="24"/>
          <w:szCs w:val="24"/>
          <w:vertAlign w:val="superscript"/>
        </w:rPr>
        <w:t>*</w:t>
      </w:r>
      <w:r w:rsidRPr="00C6010E">
        <w:rPr>
          <w:rFonts w:ascii="Times New Roman" w:eastAsia="SimSun" w:hAnsi="Times New Roman" w:cs="Times New Roman"/>
          <w:kern w:val="0"/>
          <w:sz w:val="24"/>
          <w:szCs w:val="24"/>
        </w:rPr>
        <w:t>Common OTUs recovered from LSU and ITS clone libraries</w:t>
      </w:r>
    </w:p>
    <w:p w:rsidR="0065517B" w:rsidRPr="00481E92" w:rsidRDefault="0065517B">
      <w:pPr>
        <w:rPr>
          <w:rFonts w:ascii="Times New Roman" w:hAnsi="Times New Roman"/>
        </w:rPr>
      </w:pPr>
      <w:bookmarkStart w:id="0" w:name="_GoBack"/>
      <w:bookmarkEnd w:id="0"/>
    </w:p>
    <w:sectPr w:rsidR="0065517B" w:rsidRPr="00481E92" w:rsidSect="00A420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0B0"/>
    <w:multiLevelType w:val="hybridMultilevel"/>
    <w:tmpl w:val="950C85E6"/>
    <w:lvl w:ilvl="0" w:tplc="3CFE715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F9"/>
    <w:rsid w:val="00481E92"/>
    <w:rsid w:val="0065517B"/>
    <w:rsid w:val="00687D4F"/>
    <w:rsid w:val="00A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61BC5-C352-479A-8F88-C7D653C8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F9"/>
    <w:pPr>
      <w:widowControl w:val="0"/>
      <w:jc w:val="both"/>
    </w:pPr>
    <w:rPr>
      <w:rFonts w:eastAsiaTheme="minorEastAsia" w:cstheme="minorBidi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A420F9"/>
    <w:rPr>
      <w:rFonts w:eastAsiaTheme="minorEastAsia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420F9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420F9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20F9"/>
    <w:rPr>
      <w:rFonts w:eastAsiaTheme="minorEastAsia" w:cstheme="minorBidi"/>
      <w:sz w:val="20"/>
      <w:szCs w:val="20"/>
      <w:lang w:eastAsia="zh-CN"/>
    </w:rPr>
  </w:style>
  <w:style w:type="table" w:customStyle="1" w:styleId="-11">
    <w:name w:val="浅色底纹 - 强调文字颜色 11"/>
    <w:basedOn w:val="TableNormal"/>
    <w:uiPriority w:val="60"/>
    <w:rsid w:val="00A420F9"/>
    <w:rPr>
      <w:rFonts w:eastAsiaTheme="minorEastAsia" w:cstheme="minorBidi"/>
      <w:color w:val="365F91" w:themeColor="accent1" w:themeShade="BF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底纹1"/>
    <w:basedOn w:val="TableNormal"/>
    <w:uiPriority w:val="60"/>
    <w:rsid w:val="00A420F9"/>
    <w:rPr>
      <w:rFonts w:eastAsiaTheme="minorEastAsia" w:cstheme="minorBidi"/>
      <w:color w:val="000000" w:themeColor="text1" w:themeShade="BF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A420F9"/>
  </w:style>
  <w:style w:type="paragraph" w:styleId="Header">
    <w:name w:val="header"/>
    <w:basedOn w:val="Normal"/>
    <w:link w:val="HeaderChar"/>
    <w:uiPriority w:val="99"/>
    <w:semiHidden/>
    <w:unhideWhenUsed/>
    <w:rsid w:val="00A42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20F9"/>
    <w:rPr>
      <w:rFonts w:eastAsiaTheme="minorEastAsia" w:cstheme="minorBid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42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420F9"/>
    <w:rPr>
      <w:rFonts w:eastAsiaTheme="minorEastAsia" w:cstheme="minorBidi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420F9"/>
    <w:rPr>
      <w:color w:val="0000FF"/>
      <w:u w:val="single"/>
    </w:rPr>
  </w:style>
  <w:style w:type="character" w:customStyle="1" w:styleId="class">
    <w:name w:val="class"/>
    <w:basedOn w:val="DefaultParagraphFont"/>
    <w:rsid w:val="00A420F9"/>
  </w:style>
  <w:style w:type="character" w:customStyle="1" w:styleId="phylum">
    <w:name w:val="phylum"/>
    <w:basedOn w:val="DefaultParagraphFont"/>
    <w:rsid w:val="00A420F9"/>
  </w:style>
  <w:style w:type="paragraph" w:styleId="BalloonText">
    <w:name w:val="Balloon Text"/>
    <w:basedOn w:val="Normal"/>
    <w:link w:val="BalloonTextChar"/>
    <w:uiPriority w:val="99"/>
    <w:semiHidden/>
    <w:unhideWhenUsed/>
    <w:rsid w:val="00A4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F9"/>
    <w:rPr>
      <w:rFonts w:ascii="Tahoma" w:eastAsiaTheme="minorEastAsia" w:hAnsi="Tahoma" w:cs="Tahoma"/>
      <w:kern w:val="2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420F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20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20F9"/>
    <w:rPr>
      <w:rFonts w:ascii="Courier New" w:eastAsia="Times New Roman" w:hAnsi="Courier New" w:cs="Courier New"/>
      <w:sz w:val="20"/>
      <w:szCs w:val="20"/>
    </w:rPr>
  </w:style>
  <w:style w:type="character" w:customStyle="1" w:styleId="current">
    <w:name w:val="current"/>
    <w:basedOn w:val="DefaultParagraphFont"/>
    <w:rsid w:val="00A420F9"/>
  </w:style>
  <w:style w:type="character" w:customStyle="1" w:styleId="feature">
    <w:name w:val="feature"/>
    <w:basedOn w:val="DefaultParagraphFont"/>
    <w:rsid w:val="00A420F9"/>
  </w:style>
  <w:style w:type="character" w:styleId="PageNumber">
    <w:name w:val="page number"/>
    <w:basedOn w:val="DefaultParagraphFont"/>
    <w:uiPriority w:val="99"/>
    <w:semiHidden/>
    <w:unhideWhenUsed/>
    <w:rsid w:val="00A4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ncbi.nlm.nih.gov/Blast.cgi" TargetMode="External"/><Relationship Id="rId13" Type="http://schemas.openxmlformats.org/officeDocument/2006/relationships/hyperlink" Target="http://blast.ncbi.nlm.nih.gov/Blast.cgi" TargetMode="External"/><Relationship Id="rId18" Type="http://schemas.openxmlformats.org/officeDocument/2006/relationships/hyperlink" Target="http://blast.ncbi.nlm.nih.gov/Blast.cg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Basidiomycota" TargetMode="External"/><Relationship Id="rId12" Type="http://schemas.openxmlformats.org/officeDocument/2006/relationships/hyperlink" Target="http://en.wikipedia.org/wiki/Basidiomycota" TargetMode="External"/><Relationship Id="rId17" Type="http://schemas.openxmlformats.org/officeDocument/2006/relationships/hyperlink" Target="http://blast.ncbi.nlm.nih.gov/Blast.cgi" TargetMode="External"/><Relationship Id="rId2" Type="http://schemas.openxmlformats.org/officeDocument/2006/relationships/styles" Target="styles.xml"/><Relationship Id="rId16" Type="http://schemas.openxmlformats.org/officeDocument/2006/relationships/hyperlink" Target="http://blast.ncbi.nlm.nih.gov/Blast.cgi" TargetMode="External"/><Relationship Id="rId20" Type="http://schemas.openxmlformats.org/officeDocument/2006/relationships/hyperlink" Target="http://blast.ncbi.nlm.nih.gov/Blast.c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last.ncbi.nlm.nih.gov/Blast.cgi" TargetMode="External"/><Relationship Id="rId11" Type="http://schemas.openxmlformats.org/officeDocument/2006/relationships/hyperlink" Target="http://en.wikipedia.org/wiki/Basidiomycota" TargetMode="External"/><Relationship Id="rId5" Type="http://schemas.openxmlformats.org/officeDocument/2006/relationships/hyperlink" Target="http://en.wikipedia.org/wiki/Basidiomycota" TargetMode="External"/><Relationship Id="rId15" Type="http://schemas.openxmlformats.org/officeDocument/2006/relationships/hyperlink" Target="http://blast.ncbi.nlm.nih.gov/Blast.cgi" TargetMode="External"/><Relationship Id="rId10" Type="http://schemas.openxmlformats.org/officeDocument/2006/relationships/hyperlink" Target="http://blast.ncbi.nlm.nih.gov/Blast.cgi" TargetMode="External"/><Relationship Id="rId19" Type="http://schemas.openxmlformats.org/officeDocument/2006/relationships/hyperlink" Target="http://en.wikipedia.org/wiki/Basidiomyc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Basidiomycota" TargetMode="External"/><Relationship Id="rId14" Type="http://schemas.openxmlformats.org/officeDocument/2006/relationships/hyperlink" Target="http://blast.ncbi.nlm.nih.gov/Blast.cg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Zhang</dc:creator>
  <cp:keywords/>
  <dc:description/>
  <cp:lastModifiedBy>Tao Zhang</cp:lastModifiedBy>
  <cp:revision>1</cp:revision>
  <dcterms:created xsi:type="dcterms:W3CDTF">2014-09-04T19:59:00Z</dcterms:created>
  <dcterms:modified xsi:type="dcterms:W3CDTF">2014-09-04T19:59:00Z</dcterms:modified>
</cp:coreProperties>
</file>