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F7" w:rsidRPr="000B335B" w:rsidRDefault="0056225C" w:rsidP="00BE40F7">
      <w:pPr>
        <w:spacing w:line="480" w:lineRule="auto"/>
        <w:rPr>
          <w:b/>
          <w:bCs/>
          <w:kern w:val="32"/>
          <w:sz w:val="28"/>
        </w:rPr>
      </w:pPr>
      <w:r>
        <w:rPr>
          <w:b/>
          <w:sz w:val="28"/>
          <w:szCs w:val="28"/>
        </w:rPr>
        <w:t xml:space="preserve">Appendix </w:t>
      </w:r>
      <w:r w:rsidR="00AB1F0B">
        <w:rPr>
          <w:b/>
          <w:sz w:val="28"/>
          <w:szCs w:val="28"/>
        </w:rPr>
        <w:t>S</w:t>
      </w:r>
      <w:r w:rsidR="00BE40F7">
        <w:rPr>
          <w:b/>
          <w:bCs/>
          <w:kern w:val="32"/>
          <w:sz w:val="28"/>
        </w:rPr>
        <w:t>1 – Correction for the exclusion of economically inactive men</w:t>
      </w:r>
    </w:p>
    <w:p w:rsidR="00BE40F7" w:rsidRPr="000B335B" w:rsidRDefault="00BE40F7" w:rsidP="00BE40F7">
      <w:pPr>
        <w:spacing w:line="480" w:lineRule="auto"/>
        <w:jc w:val="both"/>
      </w:pPr>
      <w:r>
        <w:t xml:space="preserve">We applied the algorithm developed by </w:t>
      </w:r>
      <w:r w:rsidRPr="00F16CCE">
        <w:fldChar w:fldCharType="begin"/>
      </w:r>
      <w:r>
        <w:instrText xml:space="preserve"> ADDIN EN.CITE &lt;EndNote&gt;&lt;Cite AuthorYear="1"&gt;&lt;Author&gt;Kunst&lt;/Author&gt;&lt;Year&gt;1996&lt;/Year&gt;&lt;RecNum&gt;1560&lt;/RecNum&gt;&lt;DisplayText&gt;Kunst and Groenhof (1996)&lt;/DisplayText&gt;&lt;record&gt;&lt;rec-number&gt;1560&lt;/rec-number&gt;&lt;foreign-keys&gt;&lt;key app="EN" db-id="20tw9prpg0tfs3e2ar9vadf42s9vrp9ev29r"&gt;1560&lt;/key&gt;&lt;/foreign-keys&gt;&lt;ref-type name="Report"&gt;27&lt;/ref-type&gt;&lt;contributors&gt;&lt;authors&gt;&lt;author&gt;Kunst, A.E.&lt;/author&gt;&lt;author&gt;Groenhof, F.&lt;/author&gt;&lt;/authors&gt;&lt;/contributors&gt;&lt;titles&gt;&lt;title&gt;Mortality differences by educational level and occupational class: the effect of excluding economically inactive men. Working Dokument 7 from the Concerted Action &amp;quot;Socioeconomic inequalities in morbidity and mortality in Europe: a comparative study&amp;quot;&lt;/title&gt;&lt;/titles&gt;&lt;dates&gt;&lt;year&gt;1996&lt;/year&gt;&lt;/dates&gt;&lt;publisher&gt;Department of Public Health Erasmus University Rotterdam&lt;/publisher&gt;&lt;urls&gt;&lt;/urls&gt;&lt;/record&gt;&lt;/Cite&gt;&lt;/EndNote&gt;</w:instrText>
      </w:r>
      <w:r w:rsidRPr="00F16CCE">
        <w:fldChar w:fldCharType="separate"/>
      </w:r>
      <w:hyperlink w:anchor="_ENREF_23" w:tooltip="Kunst, 1996 #1560" w:history="1">
        <w:r>
          <w:rPr>
            <w:noProof/>
          </w:rPr>
          <w:t>Kunst and Groenhof (1996</w:t>
        </w:r>
      </w:hyperlink>
      <w:r>
        <w:rPr>
          <w:noProof/>
        </w:rPr>
        <w:t>)</w:t>
      </w:r>
      <w:r w:rsidRPr="00F16CCE">
        <w:fldChar w:fldCharType="end"/>
      </w:r>
      <w:r w:rsidRPr="00F16CCE">
        <w:t xml:space="preserve"> </w:t>
      </w:r>
      <w:r w:rsidRPr="000B335B">
        <w:t xml:space="preserve">to account for the exclusion of inactive </w:t>
      </w:r>
      <w:r>
        <w:t xml:space="preserve">men </w:t>
      </w:r>
      <w:r w:rsidRPr="000B335B">
        <w:t xml:space="preserve">when computing occupational class differences in mortality. </w:t>
      </w:r>
    </w:p>
    <w:p w:rsidR="00BE40F7" w:rsidRPr="000B335B" w:rsidRDefault="00BE40F7" w:rsidP="00BE40F7">
      <w:pPr>
        <w:spacing w:line="480" w:lineRule="auto"/>
        <w:jc w:val="both"/>
      </w:pPr>
    </w:p>
    <w:p w:rsidR="00BE40F7" w:rsidRDefault="00BE40F7" w:rsidP="00BE40F7">
      <w:pPr>
        <w:spacing w:line="480" w:lineRule="auto"/>
        <w:jc w:val="both"/>
      </w:pPr>
      <w:r w:rsidRPr="000B335B">
        <w:t>A correction formula was derived to estimate the mortality differences by occupational class taking into account economically inactive men.</w:t>
      </w:r>
      <w:r>
        <w:t xml:space="preserve"> The idea is to compute a correction factor that </w:t>
      </w:r>
      <w:r w:rsidRPr="000B335B">
        <w:t xml:space="preserve">represents the extent to which the mortality rate among active men in </w:t>
      </w:r>
      <w:r>
        <w:t>each</w:t>
      </w:r>
      <w:r w:rsidRPr="000B335B">
        <w:t xml:space="preserve"> occupational class should be increased</w:t>
      </w:r>
      <w:r>
        <w:t>,</w:t>
      </w:r>
      <w:r w:rsidRPr="000B335B">
        <w:t xml:space="preserve"> in order to obtain an estimate of the mor</w:t>
      </w:r>
      <w:r>
        <w:t>tality rate among all men in this</w:t>
      </w:r>
      <w:r w:rsidRPr="000B335B">
        <w:t xml:space="preserve"> occupational class.</w:t>
      </w:r>
    </w:p>
    <w:p w:rsidR="00BE40F7" w:rsidRPr="000B335B" w:rsidRDefault="00BE40F7" w:rsidP="00BE40F7">
      <w:pPr>
        <w:spacing w:line="480" w:lineRule="auto"/>
        <w:jc w:val="both"/>
      </w:pPr>
    </w:p>
    <w:p w:rsidR="00BE40F7" w:rsidRPr="000B335B" w:rsidRDefault="00BE40F7" w:rsidP="00BE40F7">
      <w:pPr>
        <w:spacing w:line="480" w:lineRule="auto"/>
        <w:jc w:val="both"/>
      </w:pPr>
      <w:r w:rsidRPr="000B335B">
        <w:t>For the occupational class z, the formula is:</w:t>
      </w:r>
    </w:p>
    <w:p w:rsidR="00BE40F7" w:rsidRPr="000B335B" w:rsidRDefault="00123E19" w:rsidP="00BE40F7">
      <w:pPr>
        <w:spacing w:line="480" w:lineRule="auto"/>
        <w:ind w:left="2124" w:firstLine="708"/>
      </w:pPr>
      <w:r w:rsidRPr="000B335B">
        <w:rPr>
          <w:position w:val="-10"/>
        </w:rPr>
        <w:object w:dxaOrig="2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2pt;height:20.4pt" o:ole="">
            <v:imagedata r:id="rId7" o:title=""/>
          </v:shape>
          <o:OLEObject Type="Embed" ProgID="Equation.3" ShapeID="_x0000_i1025" DrawAspect="Content" ObjectID="_1471757418" r:id="rId8"/>
        </w:object>
      </w:r>
      <w:r w:rsidR="00BE40F7">
        <w:tab/>
      </w:r>
      <w:r w:rsidR="00BE40F7">
        <w:tab/>
      </w:r>
      <w:r w:rsidR="00BE40F7">
        <w:tab/>
      </w:r>
      <w:r w:rsidR="00BE40F7">
        <w:tab/>
        <w:t>(1)</w:t>
      </w:r>
    </w:p>
    <w:p w:rsidR="00BE40F7" w:rsidRDefault="00BE40F7" w:rsidP="00BE40F7">
      <w:pPr>
        <w:spacing w:line="480" w:lineRule="auto"/>
        <w:jc w:val="both"/>
      </w:pPr>
      <w:r>
        <w:t xml:space="preserve">with </w:t>
      </w:r>
      <w:r w:rsidRPr="00985CD3">
        <w:rPr>
          <w:position w:val="-10"/>
        </w:rPr>
        <w:object w:dxaOrig="680" w:dyaOrig="360">
          <v:shape id="_x0000_i1026" type="#_x0000_t75" style="width:33.6pt;height:18pt" o:ole="">
            <v:imagedata r:id="rId9" o:title=""/>
          </v:shape>
          <o:OLEObject Type="Embed" ProgID="Equation.3" ShapeID="_x0000_i1026" DrawAspect="Content" ObjectID="_1471757419" r:id="rId10"/>
        </w:object>
      </w:r>
      <w:r>
        <w:t xml:space="preserve"> being the</w:t>
      </w:r>
      <w:r w:rsidRPr="005A168F">
        <w:t xml:space="preserve"> </w:t>
      </w:r>
      <w:r w:rsidRPr="008A36E4">
        <w:t>proportion</w:t>
      </w:r>
      <w:r>
        <w:t xml:space="preserve"> </w:t>
      </w:r>
      <w:r w:rsidRPr="005A168F">
        <w:t xml:space="preserve">of inactive </w:t>
      </w:r>
      <w:r>
        <w:t>men</w:t>
      </w:r>
      <w:r w:rsidRPr="005A168F">
        <w:t xml:space="preserve"> by occupational class</w:t>
      </w:r>
      <w:r>
        <w:t xml:space="preserve">, and </w:t>
      </w:r>
      <w:r w:rsidRPr="00985CD3">
        <w:rPr>
          <w:position w:val="-10"/>
        </w:rPr>
        <w:object w:dxaOrig="1260" w:dyaOrig="360">
          <v:shape id="_x0000_i1027" type="#_x0000_t75" style="width:61.2pt;height:17.4pt" o:ole="">
            <v:imagedata r:id="rId11" o:title=""/>
          </v:shape>
          <o:OLEObject Type="Embed" ProgID="Equation.3" ShapeID="_x0000_i1027" DrawAspect="Content" ObjectID="_1471757420" r:id="rId12"/>
        </w:object>
      </w:r>
      <w:r>
        <w:rPr>
          <w:position w:val="-10"/>
        </w:rPr>
        <w:t xml:space="preserve"> </w:t>
      </w:r>
      <w:r>
        <w:t>being the</w:t>
      </w:r>
      <w:r w:rsidRPr="005A168F">
        <w:t xml:space="preserve"> mortality </w:t>
      </w:r>
      <w:r>
        <w:t>r</w:t>
      </w:r>
      <w:r w:rsidRPr="005A168F">
        <w:t xml:space="preserve">ate </w:t>
      </w:r>
      <w:r>
        <w:t>r</w:t>
      </w:r>
      <w:r w:rsidRPr="005A168F">
        <w:t>atio of inactive</w:t>
      </w:r>
      <w:r>
        <w:t xml:space="preserve"> compared to </w:t>
      </w:r>
      <w:r w:rsidRPr="005A168F">
        <w:t xml:space="preserve">active </w:t>
      </w:r>
      <w:r>
        <w:t>men</w:t>
      </w:r>
      <w:r w:rsidRPr="005A168F">
        <w:t xml:space="preserve"> by occupational class</w:t>
      </w:r>
      <w:r>
        <w:t>.</w:t>
      </w:r>
    </w:p>
    <w:p w:rsidR="00BE40F7" w:rsidRDefault="00BE40F7" w:rsidP="00BE40F7">
      <w:pPr>
        <w:spacing w:line="480" w:lineRule="auto"/>
        <w:jc w:val="both"/>
      </w:pPr>
      <w:r w:rsidRPr="005A168F">
        <w:t>For each</w:t>
      </w:r>
      <w:r>
        <w:t xml:space="preserve"> of these two input information</w:t>
      </w:r>
      <w:r w:rsidRPr="005A168F">
        <w:t>, an assumption was</w:t>
      </w:r>
      <w:r>
        <w:t xml:space="preserve"> made</w:t>
      </w:r>
      <w:r w:rsidRPr="005A168F">
        <w:t>.</w:t>
      </w:r>
    </w:p>
    <w:p w:rsidR="00BE40F7" w:rsidRDefault="00BE40F7" w:rsidP="00BE40F7">
      <w:pPr>
        <w:spacing w:line="480" w:lineRule="auto"/>
        <w:jc w:val="both"/>
      </w:pPr>
    </w:p>
    <w:p w:rsidR="00BE40F7" w:rsidRDefault="00BE40F7" w:rsidP="00BE40F7">
      <w:pPr>
        <w:spacing w:line="480" w:lineRule="auto"/>
        <w:jc w:val="both"/>
      </w:pPr>
      <w:r w:rsidRPr="005A168F">
        <w:t xml:space="preserve">Regarding the </w:t>
      </w:r>
      <w:r w:rsidRPr="008A36E4">
        <w:t>proportion</w:t>
      </w:r>
      <w:r w:rsidRPr="005A168F">
        <w:t xml:space="preserve"> of </w:t>
      </w:r>
      <w:r>
        <w:t xml:space="preserve">economically </w:t>
      </w:r>
      <w:r w:rsidRPr="005A168F">
        <w:t xml:space="preserve">inactive </w:t>
      </w:r>
      <w:r>
        <w:t>men</w:t>
      </w:r>
      <w:r w:rsidRPr="005A168F">
        <w:t xml:space="preserve"> by occupational class, </w:t>
      </w:r>
      <w:r>
        <w:t>it was assumed that</w:t>
      </w:r>
      <w:r w:rsidRPr="005A168F">
        <w:t xml:space="preserve"> for each occupational class, this proportion </w:t>
      </w:r>
      <w:r>
        <w:t>was</w:t>
      </w:r>
      <w:r w:rsidRPr="005A168F">
        <w:t xml:space="preserve"> proportional to the share of inactive </w:t>
      </w:r>
      <w:r>
        <w:t>men</w:t>
      </w:r>
      <w:r w:rsidRPr="005A168F">
        <w:t xml:space="preserve"> in the whole population</w:t>
      </w:r>
      <w:r>
        <w:t>.</w:t>
      </w:r>
      <w:r w:rsidRPr="00E25DE9">
        <w:t xml:space="preserve"> </w:t>
      </w:r>
      <w:r>
        <w:t xml:space="preserve">We also assumed that </w:t>
      </w:r>
      <w:r w:rsidRPr="00CF3A5C">
        <w:rPr>
          <w:i/>
        </w:rPr>
        <w:t>this relative difference differed by occupational class, but did not differ between countries</w:t>
      </w:r>
      <w:r w:rsidRPr="00CF3A5C">
        <w:t>.</w:t>
      </w:r>
      <w:r w:rsidRPr="00E25DE9">
        <w:t xml:space="preserve"> </w:t>
      </w:r>
      <w:r>
        <w:t>It can be written as follows:</w:t>
      </w:r>
      <w:r w:rsidRPr="00E25DE9">
        <w:t xml:space="preserve"> </w:t>
      </w:r>
    </w:p>
    <w:p w:rsidR="00BE40F7" w:rsidRPr="000B335B" w:rsidRDefault="00BE40F7" w:rsidP="00BE40F7">
      <w:pPr>
        <w:spacing w:line="480" w:lineRule="auto"/>
        <w:ind w:left="2124" w:firstLine="708"/>
        <w:jc w:val="both"/>
      </w:pPr>
      <w:r w:rsidRPr="000B335B">
        <w:rPr>
          <w:position w:val="-12"/>
        </w:rPr>
        <w:object w:dxaOrig="2360" w:dyaOrig="380">
          <v:shape id="_x0000_i1028" type="#_x0000_t75" style="width:134.4pt;height:21pt" o:ole="">
            <v:imagedata r:id="rId13" o:title=""/>
          </v:shape>
          <o:OLEObject Type="Embed" ProgID="Equation.3" ShapeID="_x0000_i1028" DrawAspect="Content" ObjectID="_1471757421" r:id="rId14"/>
        </w:object>
      </w:r>
    </w:p>
    <w:p w:rsidR="00BE40F7" w:rsidRDefault="00BE40F7" w:rsidP="00BE40F7">
      <w:pPr>
        <w:spacing w:line="480" w:lineRule="auto"/>
        <w:jc w:val="both"/>
      </w:pPr>
      <w:r>
        <w:t>The const</w:t>
      </w:r>
      <w:r w:rsidRPr="00E25DE9">
        <w:rPr>
          <w:vertAlign w:val="subscript"/>
        </w:rPr>
        <w:t>z</w:t>
      </w:r>
      <w:r w:rsidRPr="008A36E4">
        <w:t xml:space="preserve"> </w:t>
      </w:r>
      <w:r>
        <w:t>corresponds to</w:t>
      </w:r>
      <w:r w:rsidRPr="008A36E4">
        <w:t xml:space="preserve"> the proportion</w:t>
      </w:r>
      <w:r w:rsidRPr="005A168F">
        <w:t xml:space="preserve"> </w:t>
      </w:r>
      <w:r>
        <w:t>of inactive men in class z when compared with the whole population. It was</w:t>
      </w:r>
      <w:r w:rsidRPr="005A168F">
        <w:t xml:space="preserve"> computed from N</w:t>
      </w:r>
      <w:r>
        <w:t>ational Health Interview Survey</w:t>
      </w:r>
      <w:r w:rsidRPr="005A168F">
        <w:t xml:space="preserve"> data.</w:t>
      </w:r>
      <w:r>
        <w:t xml:space="preserve"> </w:t>
      </w:r>
    </w:p>
    <w:p w:rsidR="00BE40F7" w:rsidRDefault="00BE40F7" w:rsidP="00BE40F7">
      <w:pPr>
        <w:spacing w:line="480" w:lineRule="auto"/>
        <w:jc w:val="both"/>
      </w:pPr>
    </w:p>
    <w:p w:rsidR="00BE40F7" w:rsidRPr="005A168F" w:rsidRDefault="00BE40F7" w:rsidP="00BE40F7">
      <w:pPr>
        <w:spacing w:line="480" w:lineRule="auto"/>
        <w:jc w:val="both"/>
      </w:pPr>
      <w:r w:rsidRPr="005A168F">
        <w:lastRenderedPageBreak/>
        <w:t xml:space="preserve">Regarding the mortality </w:t>
      </w:r>
      <w:r>
        <w:t>rate ratio</w:t>
      </w:r>
      <w:r w:rsidRPr="005A168F">
        <w:t xml:space="preserve"> of inactive</w:t>
      </w:r>
      <w:r>
        <w:t xml:space="preserve"> compared to </w:t>
      </w:r>
      <w:r w:rsidRPr="005A168F">
        <w:t xml:space="preserve">active </w:t>
      </w:r>
      <w:r>
        <w:t>men</w:t>
      </w:r>
      <w:r w:rsidRPr="005A168F">
        <w:t xml:space="preserve"> by occupational class, </w:t>
      </w:r>
      <w:r>
        <w:t xml:space="preserve">it was </w:t>
      </w:r>
      <w:r w:rsidRPr="005A168F">
        <w:t xml:space="preserve">assumed that </w:t>
      </w:r>
      <w:r w:rsidRPr="00CF3A5C">
        <w:rPr>
          <w:i/>
        </w:rPr>
        <w:t>this rate ratio was constant across occupational groups and equalled that computed among the total population</w:t>
      </w:r>
      <w:r w:rsidRPr="005A168F">
        <w:t xml:space="preserve">. </w:t>
      </w:r>
      <w:r>
        <w:t>This rate ratio was derived from the mortality dataset.</w:t>
      </w:r>
    </w:p>
    <w:p w:rsidR="00BE40F7" w:rsidRDefault="00BE40F7" w:rsidP="00BE40F7">
      <w:pPr>
        <w:spacing w:line="480" w:lineRule="auto"/>
        <w:jc w:val="both"/>
      </w:pPr>
    </w:p>
    <w:p w:rsidR="00BE40F7" w:rsidRDefault="00BE40F7" w:rsidP="00BE40F7">
      <w:pPr>
        <w:spacing w:line="480" w:lineRule="auto"/>
        <w:jc w:val="both"/>
      </w:pPr>
      <w:r>
        <w:t>These assumptions were checked in the available mortality and morbidity data (see Appendix 2).</w:t>
      </w:r>
    </w:p>
    <w:p w:rsidR="00BE40F7" w:rsidRDefault="00BE40F7" w:rsidP="00BE40F7">
      <w:pPr>
        <w:spacing w:line="480" w:lineRule="auto"/>
        <w:jc w:val="both"/>
      </w:pPr>
    </w:p>
    <w:p w:rsidR="00BE40F7" w:rsidRDefault="00BE40F7" w:rsidP="00BE40F7">
      <w:pPr>
        <w:spacing w:line="480" w:lineRule="auto"/>
        <w:jc w:val="both"/>
      </w:pPr>
      <w:r w:rsidRPr="000B335B">
        <w:t>With these two assumptions, the formula</w:t>
      </w:r>
      <w:r>
        <w:t xml:space="preserve"> (1)</w:t>
      </w:r>
      <w:r w:rsidRPr="000B335B">
        <w:t xml:space="preserve"> can be written as:</w:t>
      </w:r>
    </w:p>
    <w:p w:rsidR="00BE40F7" w:rsidRPr="000B335B" w:rsidRDefault="00BE40F7" w:rsidP="00BE40F7">
      <w:pPr>
        <w:spacing w:line="480" w:lineRule="auto"/>
        <w:ind w:left="2124" w:firstLine="708"/>
        <w:jc w:val="both"/>
      </w:pPr>
      <w:r w:rsidRPr="00CD19DC">
        <w:rPr>
          <w:position w:val="-10"/>
        </w:rPr>
        <w:object w:dxaOrig="2840" w:dyaOrig="360">
          <v:shape id="_x0000_i1029" type="#_x0000_t75" style="width:170.4pt;height:20.4pt" o:ole="">
            <v:imagedata r:id="rId15" o:title=""/>
          </v:shape>
          <o:OLEObject Type="Embed" ProgID="Equation.3" ShapeID="_x0000_i1029" DrawAspect="Content" ObjectID="_1471757422" r:id="rId16"/>
        </w:object>
      </w:r>
      <w:r>
        <w:tab/>
      </w:r>
      <w:r>
        <w:tab/>
      </w:r>
      <w:r>
        <w:tab/>
      </w:r>
      <w:r>
        <w:tab/>
        <w:t>(2)</w:t>
      </w:r>
    </w:p>
    <w:p w:rsidR="00BE40F7" w:rsidRPr="000B335B" w:rsidRDefault="00BE40F7" w:rsidP="00BE40F7">
      <w:pPr>
        <w:spacing w:line="480" w:lineRule="auto"/>
        <w:jc w:val="both"/>
      </w:pPr>
      <w:r>
        <w:t>F</w:t>
      </w:r>
      <w:r w:rsidRPr="000B335B">
        <w:t xml:space="preserve">ormula </w:t>
      </w:r>
      <w:r>
        <w:t xml:space="preserve">(2) </w:t>
      </w:r>
      <w:r w:rsidRPr="000B335B">
        <w:t>can be extended to a formula for the comparison of any occupational class, say, a lower class z and a higher class y.</w:t>
      </w:r>
    </w:p>
    <w:p w:rsidR="00BE40F7" w:rsidRPr="000B335B" w:rsidRDefault="007E496B" w:rsidP="00BE40F7">
      <w:pPr>
        <w:spacing w:line="480" w:lineRule="auto"/>
        <w:ind w:left="2124" w:firstLine="708"/>
        <w:jc w:val="both"/>
      </w:pPr>
      <w:r w:rsidRPr="007E496B">
        <w:rPr>
          <w:position w:val="-32"/>
        </w:rPr>
        <w:object w:dxaOrig="3700" w:dyaOrig="740">
          <v:shape id="_x0000_i1030" type="#_x0000_t75" style="width:208.2pt;height:41.4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471757423" r:id="rId18"/>
        </w:object>
      </w:r>
      <w:r w:rsidR="00BE40F7">
        <w:tab/>
      </w:r>
      <w:r w:rsidR="00BE40F7">
        <w:tab/>
      </w:r>
      <w:r w:rsidR="00BE40F7">
        <w:tab/>
        <w:t>(3)</w:t>
      </w:r>
    </w:p>
    <w:p w:rsidR="00BE40F7" w:rsidRDefault="00BE40F7" w:rsidP="00BE40F7">
      <w:pPr>
        <w:spacing w:line="480" w:lineRule="auto"/>
        <w:jc w:val="both"/>
      </w:pPr>
      <w:r>
        <w:t>Formula (3) was then applied to the rate ratios estimated excluding economically inactive men.</w:t>
      </w:r>
    </w:p>
    <w:p w:rsidR="00BE40F7" w:rsidRPr="000B335B" w:rsidRDefault="00BE40F7" w:rsidP="00BE40F7">
      <w:pPr>
        <w:spacing w:line="480" w:lineRule="auto"/>
        <w:jc w:val="both"/>
      </w:pPr>
      <w:r w:rsidRPr="000B335B">
        <w:t>Table</w:t>
      </w:r>
      <w:r>
        <w:t xml:space="preserve"> A1.1</w:t>
      </w:r>
      <w:r w:rsidRPr="000B335B">
        <w:t xml:space="preserve"> and </w:t>
      </w:r>
      <w:r>
        <w:t>A1.2</w:t>
      </w:r>
      <w:r w:rsidRPr="000B335B">
        <w:t xml:space="preserve"> show the input information we needed to calculate the correction factor to adjust for the exclusion of economically inactive men. </w:t>
      </w:r>
    </w:p>
    <w:p w:rsidR="00BE40F7" w:rsidRDefault="00BE40F7" w:rsidP="00BE40F7">
      <w:pPr>
        <w:pStyle w:val="Beschriftung"/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0B335B">
        <w:rPr>
          <w:rFonts w:ascii="Times New Roman" w:hAnsi="Times New Roman"/>
        </w:rPr>
        <w:lastRenderedPageBreak/>
        <w:t xml:space="preserve">Table </w:t>
      </w:r>
      <w:r w:rsidR="00AB1F0B">
        <w:rPr>
          <w:rFonts w:ascii="Times New Roman" w:hAnsi="Times New Roman"/>
        </w:rPr>
        <w:t>S</w:t>
      </w:r>
      <w:r>
        <w:rPr>
          <w:rFonts w:ascii="Times New Roman" w:hAnsi="Times New Roman"/>
        </w:rPr>
        <w:t>1.1</w:t>
      </w:r>
      <w:r w:rsidRPr="000B335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</w:t>
      </w:r>
      <w:r w:rsidRPr="000B335B">
        <w:rPr>
          <w:rFonts w:ascii="Times New Roman" w:hAnsi="Times New Roman"/>
        </w:rPr>
        <w:t xml:space="preserve">roportion of inactive in the total population and mortality rate ratios of </w:t>
      </w:r>
    </w:p>
    <w:p w:rsidR="00BE40F7" w:rsidRPr="000B335B" w:rsidRDefault="00BE40F7" w:rsidP="00BE40F7">
      <w:pPr>
        <w:pStyle w:val="Beschriftung"/>
        <w:keepNext/>
        <w:jc w:val="center"/>
        <w:rPr>
          <w:rFonts w:ascii="Times New Roman" w:hAnsi="Times New Roman"/>
        </w:rPr>
      </w:pPr>
      <w:r w:rsidRPr="000B335B">
        <w:rPr>
          <w:rFonts w:ascii="Times New Roman" w:hAnsi="Times New Roman"/>
        </w:rPr>
        <w:t>inactive vs. active, men, age 30-59</w:t>
      </w:r>
      <w:r>
        <w:rPr>
          <w:rFonts w:ascii="Times New Roman" w:hAnsi="Times New Roman"/>
        </w:rPr>
        <w:t>.</w:t>
      </w:r>
    </w:p>
    <w:tbl>
      <w:tblPr>
        <w:tblW w:w="78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167"/>
        <w:gridCol w:w="1090"/>
        <w:gridCol w:w="1039"/>
        <w:gridCol w:w="942"/>
        <w:gridCol w:w="1157"/>
        <w:gridCol w:w="931"/>
      </w:tblGrid>
      <w:tr w:rsidR="00BE40F7" w:rsidRPr="00A33A5D" w:rsidTr="0048205C">
        <w:trPr>
          <w:trHeight w:val="509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67" w:type="dxa"/>
            <w:vMerge w:val="restart"/>
            <w:shd w:val="clear" w:color="auto" w:fill="auto"/>
            <w:vAlign w:val="bottom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Proportion of inactive in total population</w:t>
            </w:r>
          </w:p>
        </w:tc>
        <w:tc>
          <w:tcPr>
            <w:tcW w:w="5159" w:type="dxa"/>
            <w:gridSpan w:val="5"/>
            <w:shd w:val="clear" w:color="auto" w:fill="auto"/>
            <w:vAlign w:val="center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Mortality RR of the inactive vs. active men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67" w:type="dxa"/>
            <w:vMerge/>
            <w:vAlign w:val="center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All causes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All cancer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All CVD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All external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All other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7852" w:type="dxa"/>
            <w:gridSpan w:val="7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NORTH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  <w:lang w:eastAsia="nb-NO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Finland</w:t>
                </w:r>
              </w:smartTag>
            </w:smartTag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  <w:lang w:eastAsia="nb-NO"/>
              </w:rPr>
            </w:pPr>
            <w:r w:rsidRPr="00A33A5D">
              <w:rPr>
                <w:sz w:val="18"/>
                <w:szCs w:val="18"/>
                <w:lang w:eastAsia="nb-NO"/>
              </w:rPr>
              <w:t>12%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3.33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2.33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3.45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2.84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4.85</w:t>
            </w:r>
          </w:p>
        </w:tc>
      </w:tr>
      <w:tr w:rsidR="00BE40F7" w:rsidRPr="00A33A5D" w:rsidTr="000C3EB1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Sweden</w:t>
                </w:r>
              </w:smartTag>
            </w:smartTag>
            <w:r w:rsidRPr="00A33A5D">
              <w:rPr>
                <w:b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17%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4.25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2.06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3.84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4.32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8.64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Denmark</w:t>
                </w:r>
              </w:smartTag>
            </w:smartTag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12%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6.36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2.61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4.31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5.45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11.85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7852" w:type="dxa"/>
            <w:gridSpan w:val="7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WEST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  <w:lang w:eastAsia="nb-NO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England</w:t>
                </w:r>
              </w:smartTag>
            </w:smartTag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  <w:lang w:eastAsia="nb-NO"/>
              </w:rPr>
            </w:pPr>
            <w:r w:rsidRPr="00A33A5D">
              <w:rPr>
                <w:sz w:val="18"/>
                <w:szCs w:val="18"/>
                <w:lang w:eastAsia="nb-NO"/>
              </w:rPr>
              <w:t>13%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3.84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2.71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3.32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3.60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7.35</w:t>
            </w:r>
          </w:p>
        </w:tc>
      </w:tr>
      <w:tr w:rsidR="00BE40F7" w:rsidRPr="00A33A5D" w:rsidTr="000C3EB1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Scotland</w:t>
                </w:r>
              </w:smartTag>
            </w:smartTag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15%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4.30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2.09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3.79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3.05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9.66</w:t>
            </w:r>
          </w:p>
        </w:tc>
      </w:tr>
      <w:tr w:rsidR="00BE40F7" w:rsidRPr="00A33A5D" w:rsidTr="000C3EB1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Netherlands</w:t>
                </w:r>
              </w:smartTag>
            </w:smartTag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10%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3.45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2.71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2.84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2.74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6.82</w:t>
            </w:r>
          </w:p>
        </w:tc>
      </w:tr>
      <w:tr w:rsidR="00BE40F7" w:rsidRPr="00A33A5D" w:rsidTr="000C3EB1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France</w:t>
                </w:r>
              </w:smartTag>
            </w:smartTag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16%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3.97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2.77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4.03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2.68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7.74</w:t>
            </w:r>
          </w:p>
        </w:tc>
      </w:tr>
      <w:tr w:rsidR="00BE40F7" w:rsidRPr="00A33A5D" w:rsidTr="000C3EB1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Switzerland</w:t>
                </w:r>
              </w:smartTag>
            </w:smartTag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9%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4.62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2.75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3.21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2.89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9.60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Austria</w:t>
                </w:r>
              </w:smartTag>
            </w:smartTag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14%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5.06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4.69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3.77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2.90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12.55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7852" w:type="dxa"/>
            <w:gridSpan w:val="7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SOUTH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  <w:lang w:eastAsia="nb-NO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Spain</w:t>
                </w:r>
              </w:smartTag>
            </w:smartTag>
            <w:r w:rsidRPr="00A33A5D">
              <w:rPr>
                <w:b/>
                <w:sz w:val="18"/>
                <w:szCs w:val="18"/>
                <w:lang w:eastAsia="nb-NO"/>
              </w:rPr>
              <w:t xml:space="preserve"> (Basque)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  <w:lang w:eastAsia="nb-NO"/>
              </w:rPr>
            </w:pPr>
            <w:r w:rsidRPr="00A33A5D">
              <w:rPr>
                <w:sz w:val="18"/>
                <w:szCs w:val="18"/>
                <w:lang w:eastAsia="nb-NO"/>
              </w:rPr>
              <w:t>9%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3.50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2.76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2.96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2.86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7.04</w:t>
            </w:r>
          </w:p>
        </w:tc>
      </w:tr>
      <w:tr w:rsidR="00BE40F7" w:rsidRPr="00A33A5D" w:rsidTr="000C3EB1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country-region">
              <w:r w:rsidRPr="00A33A5D">
                <w:rPr>
                  <w:b/>
                  <w:sz w:val="18"/>
                  <w:szCs w:val="18"/>
                  <w:lang w:eastAsia="nb-NO"/>
                </w:rPr>
                <w:t>Spain</w:t>
              </w:r>
            </w:smartTag>
            <w:r w:rsidRPr="00A33A5D">
              <w:rPr>
                <w:b/>
                <w:sz w:val="18"/>
                <w:szCs w:val="18"/>
                <w:lang w:eastAsia="nb-NO"/>
              </w:rPr>
              <w:t xml:space="preserve"> (</w:t>
            </w:r>
            <w:smartTag w:uri="urn:schemas-microsoft-com:office:smarttags" w:element="place">
              <w:smartTag w:uri="urn:schemas-microsoft-com:office:smarttags" w:element="State">
                <w:r w:rsidRPr="00A33A5D">
                  <w:rPr>
                    <w:b/>
                    <w:sz w:val="18"/>
                    <w:szCs w:val="18"/>
                    <w:lang w:eastAsia="nb-NO"/>
                  </w:rPr>
                  <w:t>Madrid</w:t>
                </w:r>
              </w:smartTag>
            </w:smartTag>
            <w:r w:rsidRPr="00A33A5D">
              <w:rPr>
                <w:b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15%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3.64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2.96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2.80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2.61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5.83</w:t>
            </w:r>
          </w:p>
        </w:tc>
      </w:tr>
      <w:tr w:rsidR="00BE40F7" w:rsidRPr="00A33A5D" w:rsidTr="000C3EB1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  <w:lang w:eastAsia="nb-NO"/>
              </w:rPr>
            </w:pPr>
            <w:smartTag w:uri="urn:schemas-microsoft-com:office:smarttags" w:element="country-region">
              <w:r w:rsidRPr="00A33A5D">
                <w:rPr>
                  <w:b/>
                  <w:sz w:val="18"/>
                  <w:szCs w:val="18"/>
                  <w:lang w:eastAsia="nb-NO"/>
                </w:rPr>
                <w:t>Italy</w:t>
              </w:r>
            </w:smartTag>
            <w:r w:rsidRPr="00A33A5D">
              <w:rPr>
                <w:b/>
                <w:sz w:val="18"/>
                <w:szCs w:val="18"/>
                <w:lang w:eastAsia="nb-NO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A33A5D">
                  <w:rPr>
                    <w:b/>
                    <w:sz w:val="18"/>
                    <w:szCs w:val="18"/>
                    <w:lang w:eastAsia="nb-NO"/>
                  </w:rPr>
                  <w:t>Turin</w:t>
                </w:r>
              </w:smartTag>
            </w:smartTag>
            <w:r w:rsidRPr="00A33A5D">
              <w:rPr>
                <w:b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  <w:lang w:eastAsia="nb-NO"/>
              </w:rPr>
            </w:pPr>
            <w:r w:rsidRPr="00A33A5D">
              <w:rPr>
                <w:sz w:val="18"/>
                <w:szCs w:val="18"/>
                <w:lang w:eastAsia="nb-NO"/>
              </w:rPr>
              <w:t>17%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2.81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2.28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1.97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2.10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6.84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country-region">
              <w:r w:rsidRPr="00A33A5D">
                <w:rPr>
                  <w:b/>
                  <w:sz w:val="18"/>
                  <w:szCs w:val="18"/>
                  <w:lang w:eastAsia="nb-NO"/>
                </w:rPr>
                <w:t>Italy</w:t>
              </w:r>
            </w:smartTag>
            <w:r w:rsidRPr="00A33A5D">
              <w:rPr>
                <w:b/>
                <w:sz w:val="18"/>
                <w:szCs w:val="18"/>
                <w:lang w:eastAsia="nb-NO"/>
              </w:rPr>
              <w:t xml:space="preserve"> (</w:t>
            </w:r>
            <w:smartTag w:uri="urn:schemas-microsoft-com:office:smarttags" w:element="place">
              <w:smartTag w:uri="urn:schemas-microsoft-com:office:smarttags" w:element="State">
                <w:r w:rsidRPr="00A33A5D">
                  <w:rPr>
                    <w:b/>
                    <w:sz w:val="18"/>
                    <w:szCs w:val="18"/>
                    <w:lang w:eastAsia="nb-NO"/>
                  </w:rPr>
                  <w:t>Tuscany</w:t>
                </w:r>
              </w:smartTag>
            </w:smartTag>
            <w:r w:rsidRPr="00A33A5D">
              <w:rPr>
                <w:b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15%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3.03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2.07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2.74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2.13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7.44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7852" w:type="dxa"/>
            <w:gridSpan w:val="7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BALTIC</w:t>
            </w:r>
          </w:p>
        </w:tc>
      </w:tr>
      <w:tr w:rsidR="00BE40F7" w:rsidRPr="00A33A5D" w:rsidTr="0048205C">
        <w:trPr>
          <w:trHeight w:val="214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Lithuania</w:t>
                </w:r>
              </w:smartTag>
            </w:smartTag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  <w:lang w:eastAsia="nb-NO"/>
              </w:rPr>
              <w:t>29%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2.89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2.30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2.89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2.46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4.97</w:t>
            </w:r>
          </w:p>
        </w:tc>
      </w:tr>
    </w:tbl>
    <w:p w:rsidR="00BE40F7" w:rsidRDefault="00BE40F7" w:rsidP="00BE40F7">
      <w:pPr>
        <w:spacing w:line="480" w:lineRule="auto"/>
        <w:ind w:left="540"/>
        <w:rPr>
          <w:sz w:val="18"/>
          <w:szCs w:val="18"/>
        </w:rPr>
      </w:pPr>
      <w:r w:rsidRPr="00B84A9A">
        <w:rPr>
          <w:sz w:val="18"/>
          <w:szCs w:val="18"/>
        </w:rPr>
        <w:t>Source: Mortality data</w:t>
      </w:r>
    </w:p>
    <w:p w:rsidR="00BE40F7" w:rsidRPr="00B84A9A" w:rsidRDefault="00BE40F7" w:rsidP="00BE40F7">
      <w:pPr>
        <w:spacing w:line="480" w:lineRule="auto"/>
        <w:jc w:val="center"/>
        <w:rPr>
          <w:sz w:val="20"/>
          <w:szCs w:val="20"/>
        </w:rPr>
      </w:pPr>
    </w:p>
    <w:p w:rsidR="00BE40F7" w:rsidRPr="00166B14" w:rsidRDefault="00BE40F7" w:rsidP="00BE40F7">
      <w:pPr>
        <w:pStyle w:val="Beschriftung"/>
        <w:keepNext/>
        <w:jc w:val="center"/>
        <w:rPr>
          <w:rFonts w:ascii="Times New Roman" w:hAnsi="Times New Roman"/>
        </w:rPr>
      </w:pPr>
      <w:r w:rsidRPr="00166B14">
        <w:rPr>
          <w:rFonts w:ascii="Times New Roman" w:hAnsi="Times New Roman"/>
        </w:rPr>
        <w:t xml:space="preserve">Table </w:t>
      </w:r>
      <w:r w:rsidR="00AB1F0B">
        <w:rPr>
          <w:rFonts w:ascii="Times New Roman" w:hAnsi="Times New Roman"/>
        </w:rPr>
        <w:t>S</w:t>
      </w:r>
      <w:r>
        <w:rPr>
          <w:rFonts w:ascii="Times New Roman" w:hAnsi="Times New Roman"/>
        </w:rPr>
        <w:t>1.2</w:t>
      </w:r>
      <w:r w:rsidRPr="00166B14">
        <w:rPr>
          <w:rFonts w:ascii="Times New Roman" w:hAnsi="Times New Roman"/>
        </w:rPr>
        <w:t>:</w:t>
      </w:r>
      <w:r w:rsidRPr="00166B14">
        <w:rPr>
          <w:rFonts w:ascii="Times New Roman" w:hAnsi="Times New Roman"/>
          <w:lang w:eastAsia="de-DE"/>
        </w:rPr>
        <w:t xml:space="preserve"> </w:t>
      </w:r>
      <w:r>
        <w:rPr>
          <w:rFonts w:ascii="Times New Roman" w:hAnsi="Times New Roman"/>
        </w:rPr>
        <w:t>R</w:t>
      </w:r>
      <w:r w:rsidRPr="00166B14">
        <w:rPr>
          <w:rFonts w:ascii="Times New Roman" w:hAnsi="Times New Roman"/>
        </w:rPr>
        <w:t>elative difference of the proportion of economically inactive men by</w:t>
      </w:r>
    </w:p>
    <w:p w:rsidR="00BE40F7" w:rsidRDefault="00BE40F7" w:rsidP="00BE40F7">
      <w:pPr>
        <w:pStyle w:val="Beschriftung"/>
        <w:keepNext/>
        <w:jc w:val="center"/>
        <w:rPr>
          <w:rFonts w:ascii="Times New Roman" w:hAnsi="Times New Roman"/>
        </w:rPr>
      </w:pPr>
      <w:r w:rsidRPr="00166B14">
        <w:rPr>
          <w:rFonts w:ascii="Times New Roman" w:hAnsi="Times New Roman"/>
        </w:rPr>
        <w:t xml:space="preserve">occupational class when compared to the proportion of inactive men in total </w:t>
      </w:r>
    </w:p>
    <w:p w:rsidR="00BE40F7" w:rsidRPr="00166B14" w:rsidRDefault="00BE40F7" w:rsidP="00BE40F7">
      <w:pPr>
        <w:pStyle w:val="Beschriftung"/>
        <w:keepNext/>
        <w:jc w:val="center"/>
        <w:rPr>
          <w:rFonts w:ascii="Times New Roman" w:hAnsi="Times New Roman"/>
        </w:rPr>
      </w:pPr>
      <w:r w:rsidRPr="00166B14">
        <w:rPr>
          <w:rFonts w:ascii="Times New Roman" w:hAnsi="Times New Roman"/>
        </w:rPr>
        <w:t>population,</w:t>
      </w:r>
      <w:r>
        <w:rPr>
          <w:rFonts w:ascii="Times New Roman" w:hAnsi="Times New Roman"/>
        </w:rPr>
        <w:t xml:space="preserve"> </w:t>
      </w:r>
      <w:r w:rsidRPr="00166B14">
        <w:rPr>
          <w:rFonts w:ascii="Times New Roman" w:hAnsi="Times New Roman"/>
        </w:rPr>
        <w:t>derived from National Health Interview Survey data</w:t>
      </w:r>
      <w:r>
        <w:rPr>
          <w:rFonts w:ascii="Times New Roman" w:hAnsi="Times New Roman"/>
        </w:rPr>
        <w:t>.</w:t>
      </w:r>
    </w:p>
    <w:tbl>
      <w:tblPr>
        <w:tblW w:w="75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1374"/>
        <w:gridCol w:w="1260"/>
        <w:gridCol w:w="1260"/>
        <w:gridCol w:w="1372"/>
      </w:tblGrid>
      <w:tr w:rsidR="00BE40F7" w:rsidRPr="00A33A5D" w:rsidTr="0048205C">
        <w:trPr>
          <w:trHeight w:val="510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Population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Upper non-manual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Lower non-manual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Skilled manual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E40F7" w:rsidRPr="00A33A5D" w:rsidRDefault="00BE40F7" w:rsidP="00BE40F7">
            <w:pPr>
              <w:jc w:val="center"/>
              <w:rPr>
                <w:b/>
                <w:sz w:val="18"/>
                <w:szCs w:val="18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Unskilled manual</w:t>
            </w:r>
          </w:p>
        </w:tc>
      </w:tr>
      <w:tr w:rsidR="00BE40F7" w:rsidRPr="00A33A5D" w:rsidTr="0048205C">
        <w:trPr>
          <w:trHeight w:val="255"/>
          <w:jc w:val="center"/>
        </w:trPr>
        <w:tc>
          <w:tcPr>
            <w:tcW w:w="2292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rPr>
                <w:b/>
                <w:sz w:val="18"/>
                <w:szCs w:val="18"/>
                <w:lang w:eastAsia="nb-NO"/>
              </w:rPr>
            </w:pPr>
            <w:r w:rsidRPr="00A33A5D">
              <w:rPr>
                <w:b/>
                <w:sz w:val="18"/>
                <w:szCs w:val="18"/>
                <w:lang w:eastAsia="nb-NO"/>
              </w:rPr>
              <w:t>All countries except Switzerland and Austria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0.6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1.3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1.7</w:t>
            </w:r>
          </w:p>
        </w:tc>
      </w:tr>
      <w:tr w:rsidR="00BE40F7" w:rsidRPr="00A33A5D" w:rsidTr="006A5762">
        <w:trPr>
          <w:trHeight w:val="255"/>
          <w:jc w:val="center"/>
        </w:trPr>
        <w:tc>
          <w:tcPr>
            <w:tcW w:w="2292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Switzerland</w:t>
                </w:r>
              </w:smartTag>
            </w:smartTag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0.8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1.5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-</w:t>
            </w:r>
          </w:p>
        </w:tc>
      </w:tr>
      <w:tr w:rsidR="00BE40F7" w:rsidRPr="00A33A5D" w:rsidTr="0048205C">
        <w:trPr>
          <w:trHeight w:val="255"/>
          <w:jc w:val="center"/>
        </w:trPr>
        <w:tc>
          <w:tcPr>
            <w:tcW w:w="2292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A5D">
                  <w:rPr>
                    <w:b/>
                    <w:sz w:val="18"/>
                    <w:szCs w:val="18"/>
                    <w:lang w:eastAsia="nb-NO"/>
                  </w:rPr>
                  <w:t>Austria</w:t>
                </w:r>
              </w:smartTag>
            </w:smartTag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0.8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1.3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E40F7" w:rsidRPr="00A33A5D" w:rsidRDefault="00BE40F7" w:rsidP="00BE40F7">
            <w:pPr>
              <w:jc w:val="center"/>
              <w:rPr>
                <w:sz w:val="18"/>
                <w:szCs w:val="18"/>
              </w:rPr>
            </w:pPr>
            <w:r w:rsidRPr="00A33A5D">
              <w:rPr>
                <w:sz w:val="18"/>
                <w:szCs w:val="18"/>
              </w:rPr>
              <w:t>1.7</w:t>
            </w:r>
          </w:p>
        </w:tc>
      </w:tr>
    </w:tbl>
    <w:p w:rsidR="005C507E" w:rsidRDefault="005C507E" w:rsidP="004E1333">
      <w:bookmarkStart w:id="0" w:name="_GoBack"/>
      <w:bookmarkEnd w:id="0"/>
    </w:p>
    <w:sectPr w:rsidR="005C507E" w:rsidSect="00615CE0"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F3" w:rsidRDefault="005434F3">
      <w:r>
        <w:separator/>
      </w:r>
    </w:p>
  </w:endnote>
  <w:endnote w:type="continuationSeparator" w:id="0">
    <w:p w:rsidR="005434F3" w:rsidRDefault="005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9" w:rsidRDefault="00123E19" w:rsidP="00615CE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23E19" w:rsidRDefault="00123E19" w:rsidP="00615CE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9" w:rsidRPr="00AB68EF" w:rsidRDefault="00123E19" w:rsidP="00615CE0">
    <w:pPr>
      <w:pStyle w:val="Fuzeile"/>
      <w:framePr w:wrap="around" w:vAnchor="text" w:hAnchor="margin" w:xAlign="center" w:y="1"/>
      <w:rPr>
        <w:rStyle w:val="Seitenzahl"/>
        <w:rFonts w:ascii="Times New Roman" w:hAnsi="Times New Roman"/>
        <w:sz w:val="20"/>
        <w:szCs w:val="20"/>
      </w:rPr>
    </w:pPr>
    <w:r w:rsidRPr="00AB68EF">
      <w:rPr>
        <w:rStyle w:val="Seitenzahl"/>
        <w:rFonts w:ascii="Times New Roman" w:hAnsi="Times New Roman"/>
        <w:sz w:val="20"/>
        <w:szCs w:val="20"/>
      </w:rPr>
      <w:fldChar w:fldCharType="begin"/>
    </w:r>
    <w:r w:rsidRPr="00AB68EF">
      <w:rPr>
        <w:rStyle w:val="Seitenzahl"/>
        <w:rFonts w:ascii="Times New Roman" w:hAnsi="Times New Roman"/>
        <w:sz w:val="20"/>
        <w:szCs w:val="20"/>
      </w:rPr>
      <w:instrText xml:space="preserve">PAGE  </w:instrText>
    </w:r>
    <w:r w:rsidRPr="00AB68EF">
      <w:rPr>
        <w:rStyle w:val="Seitenzahl"/>
        <w:rFonts w:ascii="Times New Roman" w:hAnsi="Times New Roman"/>
        <w:sz w:val="20"/>
        <w:szCs w:val="20"/>
      </w:rPr>
      <w:fldChar w:fldCharType="separate"/>
    </w:r>
    <w:r w:rsidR="004E1333">
      <w:rPr>
        <w:rStyle w:val="Seitenzahl"/>
        <w:rFonts w:ascii="Times New Roman" w:hAnsi="Times New Roman"/>
        <w:noProof/>
        <w:sz w:val="20"/>
        <w:szCs w:val="20"/>
      </w:rPr>
      <w:t>3</w:t>
    </w:r>
    <w:r w:rsidRPr="00AB68EF">
      <w:rPr>
        <w:rStyle w:val="Seitenzahl"/>
        <w:rFonts w:ascii="Times New Roman" w:hAnsi="Times New Roman"/>
        <w:sz w:val="20"/>
        <w:szCs w:val="20"/>
      </w:rPr>
      <w:fldChar w:fldCharType="end"/>
    </w:r>
  </w:p>
  <w:p w:rsidR="00123E19" w:rsidRDefault="00123E19" w:rsidP="00615CE0">
    <w:pPr>
      <w:pStyle w:val="Fuzeile"/>
      <w:ind w:right="360"/>
    </w:pPr>
  </w:p>
  <w:p w:rsidR="00123E19" w:rsidRDefault="00123E19" w:rsidP="00615CE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F3" w:rsidRDefault="005434F3">
      <w:r>
        <w:separator/>
      </w:r>
    </w:p>
  </w:footnote>
  <w:footnote w:type="continuationSeparator" w:id="0">
    <w:p w:rsidR="005434F3" w:rsidRDefault="0054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25AA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E2A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A1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187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665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A5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CE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9A2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043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009C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46392"/>
    <w:multiLevelType w:val="hybridMultilevel"/>
    <w:tmpl w:val="63FC2A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54345"/>
    <w:multiLevelType w:val="hybridMultilevel"/>
    <w:tmpl w:val="F61646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F2640"/>
    <w:multiLevelType w:val="hybridMultilevel"/>
    <w:tmpl w:val="55AC4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7E"/>
    <w:rsid w:val="000756E1"/>
    <w:rsid w:val="000C3EB1"/>
    <w:rsid w:val="00123E19"/>
    <w:rsid w:val="0015749E"/>
    <w:rsid w:val="00180C4D"/>
    <w:rsid w:val="002676BF"/>
    <w:rsid w:val="002B6A79"/>
    <w:rsid w:val="002C6BEC"/>
    <w:rsid w:val="0048205C"/>
    <w:rsid w:val="004C033A"/>
    <w:rsid w:val="004E1333"/>
    <w:rsid w:val="005434F3"/>
    <w:rsid w:val="0056225C"/>
    <w:rsid w:val="005C507E"/>
    <w:rsid w:val="00615CE0"/>
    <w:rsid w:val="006358D2"/>
    <w:rsid w:val="006755EB"/>
    <w:rsid w:val="006A5762"/>
    <w:rsid w:val="007B0922"/>
    <w:rsid w:val="007B5923"/>
    <w:rsid w:val="007E496B"/>
    <w:rsid w:val="009363E4"/>
    <w:rsid w:val="00944607"/>
    <w:rsid w:val="00A35E61"/>
    <w:rsid w:val="00A7352A"/>
    <w:rsid w:val="00A87A7E"/>
    <w:rsid w:val="00AB1F0B"/>
    <w:rsid w:val="00BB2F16"/>
    <w:rsid w:val="00BE40F7"/>
    <w:rsid w:val="00BE4A67"/>
    <w:rsid w:val="00D11F53"/>
    <w:rsid w:val="00D7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A78C346D-3F8D-4728-BFC1-8A33C22E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0F7"/>
    <w:rPr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615C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15C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15C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15CE0"/>
    <w:rPr>
      <w:rFonts w:ascii="Garamond" w:hAnsi="Garamond"/>
      <w:b/>
      <w:bCs/>
      <w:sz w:val="20"/>
      <w:szCs w:val="20"/>
      <w:lang w:eastAsia="nb-NO"/>
    </w:rPr>
  </w:style>
  <w:style w:type="paragraph" w:styleId="Fuzeile">
    <w:name w:val="footer"/>
    <w:basedOn w:val="Standard"/>
    <w:rsid w:val="00615CE0"/>
    <w:pPr>
      <w:tabs>
        <w:tab w:val="center" w:pos="4536"/>
        <w:tab w:val="right" w:pos="9072"/>
      </w:tabs>
    </w:pPr>
    <w:rPr>
      <w:rFonts w:ascii="Garamond" w:hAnsi="Garamond"/>
      <w:lang w:eastAsia="nb-NO"/>
    </w:rPr>
  </w:style>
  <w:style w:type="character" w:styleId="Seitenzahl">
    <w:name w:val="page number"/>
    <w:rsid w:val="00615CE0"/>
    <w:rPr>
      <w:rFonts w:cs="Times New Roman"/>
    </w:rPr>
  </w:style>
  <w:style w:type="paragraph" w:styleId="Kommentartext">
    <w:name w:val="annotation text"/>
    <w:basedOn w:val="Standard"/>
    <w:link w:val="KommentartextZchn"/>
    <w:semiHidden/>
    <w:rsid w:val="00615CE0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615CE0"/>
    <w:rPr>
      <w:lang w:val="en-GB" w:eastAsia="de-DE" w:bidi="ar-SA"/>
    </w:rPr>
  </w:style>
  <w:style w:type="paragraph" w:styleId="Kopfzeile">
    <w:name w:val="header"/>
    <w:basedOn w:val="Standard"/>
    <w:rsid w:val="00615CE0"/>
    <w:pPr>
      <w:tabs>
        <w:tab w:val="center" w:pos="4536"/>
        <w:tab w:val="right" w:pos="9072"/>
      </w:tabs>
    </w:pPr>
  </w:style>
  <w:style w:type="character" w:styleId="Hyperlink">
    <w:name w:val="Hyperlink"/>
    <w:rsid w:val="00615CE0"/>
    <w:rPr>
      <w:color w:val="0000FF"/>
      <w:u w:val="single"/>
    </w:rPr>
  </w:style>
  <w:style w:type="character" w:styleId="Hervorhebung">
    <w:name w:val="Emphasis"/>
    <w:qFormat/>
    <w:rsid w:val="00615CE0"/>
    <w:rPr>
      <w:i/>
      <w:iCs/>
    </w:rPr>
  </w:style>
  <w:style w:type="paragraph" w:customStyle="1" w:styleId="Formatvorlageberschrift2Unterschneidungab16pt">
    <w:name w:val="Formatvorlage Überschrift 2 + Unterschneidung ab 16 pt"/>
    <w:basedOn w:val="berschrift2"/>
    <w:rsid w:val="00615CE0"/>
    <w:rPr>
      <w:kern w:val="32"/>
    </w:rPr>
  </w:style>
  <w:style w:type="paragraph" w:customStyle="1" w:styleId="xl25">
    <w:name w:val="xl25"/>
    <w:basedOn w:val="Standard"/>
    <w:rsid w:val="00615CE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26">
    <w:name w:val="xl26"/>
    <w:basedOn w:val="Standard"/>
    <w:rsid w:val="00615CE0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27">
    <w:name w:val="xl27"/>
    <w:basedOn w:val="Standard"/>
    <w:rsid w:val="00615CE0"/>
    <w:pPr>
      <w:pBdr>
        <w:bottom w:val="single" w:sz="4" w:space="0" w:color="auto"/>
      </w:pBdr>
      <w:spacing w:before="100" w:beforeAutospacing="1" w:after="100" w:afterAutospacing="1"/>
    </w:pPr>
    <w:rPr>
      <w:lang w:val="nb-NO" w:eastAsia="nb-NO"/>
    </w:rPr>
  </w:style>
  <w:style w:type="paragraph" w:customStyle="1" w:styleId="xl28">
    <w:name w:val="xl28"/>
    <w:basedOn w:val="Standard"/>
    <w:rsid w:val="00615CE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29">
    <w:name w:val="xl29"/>
    <w:basedOn w:val="Standard"/>
    <w:rsid w:val="00615CE0"/>
    <w:pPr>
      <w:spacing w:before="100" w:beforeAutospacing="1" w:after="100" w:afterAutospacing="1"/>
    </w:pPr>
    <w:rPr>
      <w:rFonts w:ascii="Arial" w:hAnsi="Arial" w:cs="Arial"/>
      <w:b/>
      <w:bCs/>
      <w:lang w:val="nb-NO" w:eastAsia="nb-NO"/>
    </w:rPr>
  </w:style>
  <w:style w:type="paragraph" w:customStyle="1" w:styleId="xl31">
    <w:name w:val="xl31"/>
    <w:basedOn w:val="Standard"/>
    <w:rsid w:val="00615CE0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32">
    <w:name w:val="xl32"/>
    <w:basedOn w:val="Standard"/>
    <w:rsid w:val="00615CE0"/>
    <w:pPr>
      <w:spacing w:before="100" w:beforeAutospacing="1" w:after="100" w:afterAutospacing="1"/>
      <w:jc w:val="right"/>
    </w:pPr>
    <w:rPr>
      <w:rFonts w:ascii="Arial" w:hAnsi="Arial" w:cs="Arial"/>
      <w:lang w:val="nb-NO" w:eastAsia="nb-NO"/>
    </w:rPr>
  </w:style>
  <w:style w:type="paragraph" w:customStyle="1" w:styleId="xl33">
    <w:name w:val="xl33"/>
    <w:basedOn w:val="Standard"/>
    <w:rsid w:val="00615CE0"/>
    <w:pPr>
      <w:spacing w:before="100" w:beforeAutospacing="1" w:after="100" w:afterAutospacing="1"/>
    </w:pPr>
    <w:rPr>
      <w:rFonts w:ascii="Arial" w:hAnsi="Arial" w:cs="Arial"/>
      <w:color w:val="FF0000"/>
      <w:lang w:val="nb-NO" w:eastAsia="nb-NO"/>
    </w:rPr>
  </w:style>
  <w:style w:type="paragraph" w:customStyle="1" w:styleId="xl34">
    <w:name w:val="xl34"/>
    <w:basedOn w:val="Standard"/>
    <w:rsid w:val="00615CE0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36">
    <w:name w:val="xl36"/>
    <w:basedOn w:val="Standard"/>
    <w:rsid w:val="00615CE0"/>
    <w:pPr>
      <w:spacing w:before="100" w:beforeAutospacing="1" w:after="100" w:afterAutospacing="1"/>
    </w:pPr>
    <w:rPr>
      <w:rFonts w:ascii="Arial" w:hAnsi="Arial" w:cs="Arial"/>
      <w:color w:val="FF0000"/>
      <w:lang w:val="nb-NO" w:eastAsia="nb-NO"/>
    </w:rPr>
  </w:style>
  <w:style w:type="paragraph" w:customStyle="1" w:styleId="xl37">
    <w:name w:val="xl37"/>
    <w:basedOn w:val="Standard"/>
    <w:rsid w:val="00615CE0"/>
    <w:pPr>
      <w:spacing w:before="100" w:beforeAutospacing="1" w:after="100" w:afterAutospacing="1"/>
      <w:jc w:val="center"/>
    </w:pPr>
    <w:rPr>
      <w:rFonts w:ascii="Arial" w:hAnsi="Arial" w:cs="Arial"/>
      <w:lang w:val="nb-NO" w:eastAsia="nb-NO"/>
    </w:rPr>
  </w:style>
  <w:style w:type="paragraph" w:customStyle="1" w:styleId="xl38">
    <w:name w:val="xl38"/>
    <w:basedOn w:val="Standard"/>
    <w:rsid w:val="00615CE0"/>
    <w:pPr>
      <w:spacing w:before="100" w:beforeAutospacing="1" w:after="100" w:afterAutospacing="1"/>
      <w:jc w:val="right"/>
    </w:pPr>
    <w:rPr>
      <w:rFonts w:ascii="Arial" w:hAnsi="Arial" w:cs="Arial"/>
      <w:color w:val="FF0000"/>
      <w:lang w:val="nb-NO" w:eastAsia="nb-NO"/>
    </w:rPr>
  </w:style>
  <w:style w:type="paragraph" w:customStyle="1" w:styleId="xl39">
    <w:name w:val="xl39"/>
    <w:basedOn w:val="Standard"/>
    <w:rsid w:val="00615CE0"/>
    <w:pPr>
      <w:spacing w:before="100" w:beforeAutospacing="1" w:after="100" w:afterAutospacing="1"/>
    </w:pPr>
    <w:rPr>
      <w:lang w:val="nb-NO" w:eastAsia="nb-NO"/>
    </w:rPr>
  </w:style>
  <w:style w:type="paragraph" w:customStyle="1" w:styleId="xl40">
    <w:name w:val="xl40"/>
    <w:basedOn w:val="Standard"/>
    <w:rsid w:val="00615CE0"/>
    <w:pPr>
      <w:spacing w:before="100" w:beforeAutospacing="1" w:after="100" w:afterAutospacing="1"/>
    </w:pPr>
    <w:rPr>
      <w:rFonts w:ascii="Arial" w:hAnsi="Arial" w:cs="Arial"/>
      <w:b/>
      <w:bCs/>
      <w:i/>
      <w:iCs/>
      <w:lang w:val="nb-NO" w:eastAsia="nb-NO"/>
    </w:rPr>
  </w:style>
  <w:style w:type="paragraph" w:customStyle="1" w:styleId="xl41">
    <w:name w:val="xl41"/>
    <w:basedOn w:val="Standard"/>
    <w:rsid w:val="00615CE0"/>
    <w:pPr>
      <w:spacing w:before="100" w:beforeAutospacing="1" w:after="100" w:afterAutospacing="1"/>
    </w:pPr>
    <w:rPr>
      <w:rFonts w:ascii="Arial" w:hAnsi="Arial" w:cs="Arial"/>
      <w:i/>
      <w:iCs/>
      <w:lang w:val="nb-NO" w:eastAsia="nb-NO"/>
    </w:rPr>
  </w:style>
  <w:style w:type="paragraph" w:customStyle="1" w:styleId="xl42">
    <w:name w:val="xl42"/>
    <w:basedOn w:val="Standard"/>
    <w:rsid w:val="00615CE0"/>
    <w:pPr>
      <w:spacing w:before="100" w:beforeAutospacing="1" w:after="100" w:afterAutospacing="1"/>
    </w:pPr>
    <w:rPr>
      <w:rFonts w:ascii="Arial" w:hAnsi="Arial" w:cs="Arial"/>
      <w:i/>
      <w:iCs/>
      <w:lang w:val="nb-NO" w:eastAsia="nb-NO"/>
    </w:rPr>
  </w:style>
  <w:style w:type="paragraph" w:customStyle="1" w:styleId="xl43">
    <w:name w:val="xl43"/>
    <w:basedOn w:val="Standard"/>
    <w:rsid w:val="00615CE0"/>
    <w:pPr>
      <w:spacing w:before="100" w:beforeAutospacing="1" w:after="100" w:afterAutospacing="1"/>
    </w:pPr>
    <w:rPr>
      <w:rFonts w:ascii="Arial" w:hAnsi="Arial" w:cs="Arial"/>
      <w:i/>
      <w:iCs/>
      <w:lang w:val="nb-NO" w:eastAsia="nb-NO"/>
    </w:rPr>
  </w:style>
  <w:style w:type="paragraph" w:customStyle="1" w:styleId="xl44">
    <w:name w:val="xl44"/>
    <w:basedOn w:val="Standard"/>
    <w:rsid w:val="00615CE0"/>
    <w:pPr>
      <w:spacing w:before="100" w:beforeAutospacing="1" w:after="100" w:afterAutospacing="1"/>
      <w:jc w:val="right"/>
    </w:pPr>
    <w:rPr>
      <w:rFonts w:ascii="Arial" w:hAnsi="Arial" w:cs="Arial"/>
      <w:i/>
      <w:iCs/>
      <w:lang w:val="nb-NO" w:eastAsia="nb-NO"/>
    </w:rPr>
  </w:style>
  <w:style w:type="paragraph" w:customStyle="1" w:styleId="xl45">
    <w:name w:val="xl45"/>
    <w:basedOn w:val="Standard"/>
    <w:rsid w:val="00615CE0"/>
    <w:pPr>
      <w:spacing w:before="100" w:beforeAutospacing="1" w:after="100" w:afterAutospacing="1"/>
    </w:pPr>
    <w:rPr>
      <w:rFonts w:ascii="Arial" w:hAnsi="Arial" w:cs="Arial"/>
      <w:i/>
      <w:iCs/>
      <w:lang w:val="nb-NO" w:eastAsia="nb-NO"/>
    </w:rPr>
  </w:style>
  <w:style w:type="paragraph" w:customStyle="1" w:styleId="xl46">
    <w:name w:val="xl46"/>
    <w:basedOn w:val="Standard"/>
    <w:rsid w:val="00615CE0"/>
    <w:pPr>
      <w:spacing w:before="100" w:beforeAutospacing="1" w:after="100" w:afterAutospacing="1"/>
      <w:jc w:val="right"/>
    </w:pPr>
    <w:rPr>
      <w:rFonts w:ascii="Arial" w:hAnsi="Arial" w:cs="Arial"/>
      <w:i/>
      <w:iCs/>
      <w:lang w:val="nb-NO" w:eastAsia="nb-NO"/>
    </w:rPr>
  </w:style>
  <w:style w:type="paragraph" w:customStyle="1" w:styleId="xl47">
    <w:name w:val="xl47"/>
    <w:basedOn w:val="Standard"/>
    <w:rsid w:val="00615CE0"/>
    <w:pPr>
      <w:spacing w:before="100" w:beforeAutospacing="1" w:after="100" w:afterAutospacing="1"/>
      <w:jc w:val="center"/>
    </w:pPr>
    <w:rPr>
      <w:rFonts w:ascii="Arial" w:hAnsi="Arial" w:cs="Arial"/>
      <w:i/>
      <w:iCs/>
      <w:lang w:val="nb-NO" w:eastAsia="nb-NO"/>
    </w:rPr>
  </w:style>
  <w:style w:type="paragraph" w:customStyle="1" w:styleId="xl48">
    <w:name w:val="xl48"/>
    <w:basedOn w:val="Standard"/>
    <w:rsid w:val="00615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nb-NO" w:eastAsia="nb-NO"/>
    </w:rPr>
  </w:style>
  <w:style w:type="paragraph" w:customStyle="1" w:styleId="xl49">
    <w:name w:val="xl49"/>
    <w:basedOn w:val="Standard"/>
    <w:rsid w:val="00615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nb-NO" w:eastAsia="nb-NO"/>
    </w:rPr>
  </w:style>
  <w:style w:type="paragraph" w:customStyle="1" w:styleId="xl50">
    <w:name w:val="xl50"/>
    <w:basedOn w:val="Standard"/>
    <w:rsid w:val="00615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nb-NO" w:eastAsia="nb-NO"/>
    </w:rPr>
  </w:style>
  <w:style w:type="paragraph" w:customStyle="1" w:styleId="xl51">
    <w:name w:val="xl51"/>
    <w:basedOn w:val="Standard"/>
    <w:rsid w:val="00615CE0"/>
    <w:pPr>
      <w:pBdr>
        <w:bottom w:val="single" w:sz="4" w:space="0" w:color="auto"/>
      </w:pBdr>
      <w:spacing w:before="100" w:beforeAutospacing="1" w:after="100" w:afterAutospacing="1"/>
    </w:pPr>
    <w:rPr>
      <w:lang w:val="nb-NO" w:eastAsia="nb-NO"/>
    </w:rPr>
  </w:style>
  <w:style w:type="paragraph" w:customStyle="1" w:styleId="xl52">
    <w:name w:val="xl52"/>
    <w:basedOn w:val="Standard"/>
    <w:rsid w:val="00615CE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nb-NO" w:eastAsia="nb-NO"/>
    </w:rPr>
  </w:style>
  <w:style w:type="paragraph" w:customStyle="1" w:styleId="xl53">
    <w:name w:val="xl53"/>
    <w:basedOn w:val="Standard"/>
    <w:rsid w:val="00615CE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54">
    <w:name w:val="xl54"/>
    <w:basedOn w:val="Standard"/>
    <w:rsid w:val="00615CE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55">
    <w:name w:val="xl55"/>
    <w:basedOn w:val="Standard"/>
    <w:rsid w:val="00615CE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nb-NO" w:eastAsia="nb-NO"/>
    </w:rPr>
  </w:style>
  <w:style w:type="paragraph" w:customStyle="1" w:styleId="xl56">
    <w:name w:val="xl56"/>
    <w:basedOn w:val="Standard"/>
    <w:rsid w:val="00615CE0"/>
    <w:pPr>
      <w:pBdr>
        <w:bottom w:val="single" w:sz="4" w:space="0" w:color="auto"/>
      </w:pBdr>
      <w:spacing w:before="100" w:beforeAutospacing="1" w:after="100" w:afterAutospacing="1"/>
    </w:pPr>
    <w:rPr>
      <w:lang w:val="nb-NO" w:eastAsia="nb-NO"/>
    </w:rPr>
  </w:style>
  <w:style w:type="paragraph" w:customStyle="1" w:styleId="xl57">
    <w:name w:val="xl57"/>
    <w:basedOn w:val="Standard"/>
    <w:rsid w:val="00615CE0"/>
    <w:pPr>
      <w:pBdr>
        <w:bottom w:val="single" w:sz="4" w:space="0" w:color="auto"/>
      </w:pBdr>
      <w:spacing w:before="100" w:beforeAutospacing="1" w:after="100" w:afterAutospacing="1"/>
    </w:pPr>
    <w:rPr>
      <w:lang w:val="nb-NO" w:eastAsia="nb-NO"/>
    </w:rPr>
  </w:style>
  <w:style w:type="paragraph" w:customStyle="1" w:styleId="xl58">
    <w:name w:val="xl58"/>
    <w:basedOn w:val="Standard"/>
    <w:rsid w:val="00615CE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59">
    <w:name w:val="xl59"/>
    <w:basedOn w:val="Standard"/>
    <w:rsid w:val="00615CE0"/>
    <w:pPr>
      <w:pBdr>
        <w:bottom w:val="single" w:sz="4" w:space="0" w:color="auto"/>
      </w:pBdr>
      <w:spacing w:before="100" w:beforeAutospacing="1" w:after="100" w:afterAutospacing="1"/>
    </w:pPr>
    <w:rPr>
      <w:lang w:val="nb-NO" w:eastAsia="nb-NO"/>
    </w:rPr>
  </w:style>
  <w:style w:type="paragraph" w:customStyle="1" w:styleId="xl60">
    <w:name w:val="xl60"/>
    <w:basedOn w:val="Standard"/>
    <w:rsid w:val="00615CE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nb-NO" w:eastAsia="nb-NO"/>
    </w:rPr>
  </w:style>
  <w:style w:type="paragraph" w:customStyle="1" w:styleId="xl61">
    <w:name w:val="xl61"/>
    <w:basedOn w:val="Standard"/>
    <w:rsid w:val="00615CE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nb-NO" w:eastAsia="nb-NO"/>
    </w:rPr>
  </w:style>
  <w:style w:type="paragraph" w:customStyle="1" w:styleId="xl24">
    <w:name w:val="xl24"/>
    <w:basedOn w:val="Standard"/>
    <w:rsid w:val="00615CE0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30">
    <w:name w:val="xl30"/>
    <w:basedOn w:val="Standard"/>
    <w:rsid w:val="00615CE0"/>
    <w:pPr>
      <w:spacing w:before="100" w:beforeAutospacing="1" w:after="100" w:afterAutospacing="1"/>
    </w:pPr>
    <w:rPr>
      <w:rFonts w:ascii="Arial" w:hAnsi="Arial" w:cs="Arial"/>
      <w:i/>
      <w:iCs/>
      <w:lang w:val="nb-NO" w:eastAsia="nb-NO"/>
    </w:rPr>
  </w:style>
  <w:style w:type="paragraph" w:customStyle="1" w:styleId="xl35">
    <w:name w:val="xl35"/>
    <w:basedOn w:val="Standard"/>
    <w:rsid w:val="00615CE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character" w:styleId="BesuchterHyperlink">
    <w:name w:val="FollowedHyperlink"/>
    <w:rsid w:val="00615CE0"/>
    <w:rPr>
      <w:color w:val="800080"/>
      <w:u w:val="single"/>
    </w:rPr>
  </w:style>
  <w:style w:type="paragraph" w:customStyle="1" w:styleId="bodytext">
    <w:name w:val="bodytext"/>
    <w:basedOn w:val="Standard"/>
    <w:rsid w:val="00615CE0"/>
    <w:pPr>
      <w:spacing w:after="300" w:line="300" w:lineRule="atLeast"/>
    </w:pPr>
    <w:rPr>
      <w:sz w:val="21"/>
      <w:szCs w:val="21"/>
      <w:lang w:val="nl-NL" w:eastAsia="nl-NL"/>
    </w:rPr>
  </w:style>
  <w:style w:type="character" w:styleId="HTMLZitat">
    <w:name w:val="HTML Cite"/>
    <w:unhideWhenUsed/>
    <w:rsid w:val="00615CE0"/>
    <w:rPr>
      <w:i/>
      <w:iCs/>
    </w:rPr>
  </w:style>
  <w:style w:type="character" w:customStyle="1" w:styleId="cit-name-surname">
    <w:name w:val="cit-name-surname"/>
    <w:basedOn w:val="Absatz-Standardschriftart"/>
    <w:rsid w:val="00615CE0"/>
  </w:style>
  <w:style w:type="character" w:customStyle="1" w:styleId="cit-pub-date">
    <w:name w:val="cit-pub-date"/>
    <w:basedOn w:val="Absatz-Standardschriftart"/>
    <w:rsid w:val="00615CE0"/>
  </w:style>
  <w:style w:type="character" w:customStyle="1" w:styleId="cit-article-title">
    <w:name w:val="cit-article-title"/>
    <w:basedOn w:val="Absatz-Standardschriftart"/>
    <w:rsid w:val="00615CE0"/>
  </w:style>
  <w:style w:type="character" w:customStyle="1" w:styleId="cit-vol5">
    <w:name w:val="cit-vol5"/>
    <w:basedOn w:val="Absatz-Standardschriftart"/>
    <w:rsid w:val="00615CE0"/>
  </w:style>
  <w:style w:type="character" w:customStyle="1" w:styleId="cit-fpage">
    <w:name w:val="cit-fpage"/>
    <w:basedOn w:val="Absatz-Standardschriftart"/>
    <w:rsid w:val="00615CE0"/>
  </w:style>
  <w:style w:type="character" w:customStyle="1" w:styleId="cit-lpage">
    <w:name w:val="cit-lpage"/>
    <w:basedOn w:val="Absatz-Standardschriftart"/>
    <w:rsid w:val="00615CE0"/>
  </w:style>
  <w:style w:type="paragraph" w:styleId="Listenabsatz">
    <w:name w:val="List Paragraph"/>
    <w:basedOn w:val="Standard"/>
    <w:qFormat/>
    <w:rsid w:val="00615CE0"/>
    <w:pPr>
      <w:ind w:left="720"/>
    </w:pPr>
  </w:style>
  <w:style w:type="paragraph" w:styleId="Aufzhlungszeichen">
    <w:name w:val="List Bullet"/>
    <w:basedOn w:val="Standard"/>
    <w:rsid w:val="00615CE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4644</CharactersWithSpaces>
  <SharedDoc>false</SharedDoc>
  <HLinks>
    <vt:vector size="6" baseType="variant">
      <vt:variant>
        <vt:i4>4390923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 Toch-Marquardt</dc:creator>
  <cp:lastModifiedBy>MT-M</cp:lastModifiedBy>
  <cp:revision>2</cp:revision>
  <dcterms:created xsi:type="dcterms:W3CDTF">2014-09-09T06:44:00Z</dcterms:created>
  <dcterms:modified xsi:type="dcterms:W3CDTF">2014-09-09T06:44:00Z</dcterms:modified>
</cp:coreProperties>
</file>