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38" w:rsidRDefault="00077338" w:rsidP="00077338">
      <w:pPr>
        <w:tabs>
          <w:tab w:val="left" w:pos="851"/>
        </w:tabs>
        <w:ind w:left="851" w:hanging="851"/>
        <w:jc w:val="center"/>
        <w:rPr>
          <w:rFonts w:ascii="Arial" w:eastAsia="Times New Roman" w:hAnsi="Arial" w:cs="Arial"/>
          <w:b/>
          <w:color w:val="333333"/>
        </w:rPr>
      </w:pPr>
      <w:r>
        <w:rPr>
          <w:rFonts w:ascii="Arial" w:eastAsia="Times New Roman" w:hAnsi="Arial" w:cs="Arial"/>
          <w:b/>
          <w:color w:val="333333"/>
        </w:rPr>
        <w:t>CO</w:t>
      </w:r>
      <w:r w:rsidR="00272AA6">
        <w:rPr>
          <w:rFonts w:ascii="Arial" w:eastAsia="Times New Roman" w:hAnsi="Arial" w:cs="Arial"/>
          <w:b/>
          <w:color w:val="333333"/>
        </w:rPr>
        <w:t>NSORT Checklist</w:t>
      </w:r>
    </w:p>
    <w:p w:rsidR="00B95761" w:rsidRDefault="00B95761" w:rsidP="00EB7FEF">
      <w:pPr>
        <w:ind w:left="993" w:hanging="993"/>
        <w:rPr>
          <w:rFonts w:ascii="Arial" w:hAnsi="Arial" w:cs="Arial"/>
          <w:b/>
          <w:bCs/>
          <w:color w:val="292526"/>
        </w:rPr>
      </w:pPr>
    </w:p>
    <w:p w:rsidR="00801AB5" w:rsidRDefault="00801AB5" w:rsidP="00801AB5">
      <w:pPr>
        <w:tabs>
          <w:tab w:val="left" w:pos="851"/>
        </w:tabs>
        <w:ind w:left="851" w:hanging="851"/>
        <w:rPr>
          <w:rFonts w:ascii="Arial" w:eastAsia="Times New Roman" w:hAnsi="Arial" w:cs="Arial"/>
          <w:b/>
          <w:color w:val="333333"/>
        </w:rPr>
      </w:pPr>
      <w:r w:rsidRPr="00D83A63">
        <w:rPr>
          <w:rFonts w:ascii="Arial" w:eastAsia="Times New Roman" w:hAnsi="Arial" w:cs="Arial"/>
          <w:b/>
          <w:color w:val="333333"/>
        </w:rPr>
        <w:t>Table 1: CONSORT 2010 checklist</w:t>
      </w:r>
      <w:r w:rsidR="00AD73AD">
        <w:rPr>
          <w:rFonts w:ascii="Arial" w:eastAsia="Times New Roman" w:hAnsi="Arial" w:cs="Arial"/>
          <w:b/>
          <w:color w:val="333333"/>
        </w:rPr>
        <w:t xml:space="preserve"> with extensions for CRTs, PROs</w:t>
      </w:r>
      <w:r w:rsidR="00781061">
        <w:rPr>
          <w:rFonts w:ascii="Arial" w:eastAsia="Times New Roman" w:hAnsi="Arial" w:cs="Arial"/>
          <w:b/>
          <w:color w:val="333333"/>
        </w:rPr>
        <w:t xml:space="preserve"> and H</w:t>
      </w:r>
      <w:r w:rsidR="00AD73AD">
        <w:rPr>
          <w:rFonts w:ascii="Arial" w:eastAsia="Times New Roman" w:hAnsi="Arial" w:cs="Arial"/>
          <w:b/>
          <w:color w:val="333333"/>
        </w:rPr>
        <w:t xml:space="preserve">arms </w:t>
      </w:r>
    </w:p>
    <w:tbl>
      <w:tblPr>
        <w:tblStyle w:val="MediumShading1-Accent5"/>
        <w:tblW w:w="4969" w:type="pct"/>
        <w:tblLook w:val="04A0"/>
      </w:tblPr>
      <w:tblGrid>
        <w:gridCol w:w="1310"/>
        <w:gridCol w:w="527"/>
        <w:gridCol w:w="107"/>
        <w:gridCol w:w="1175"/>
        <w:gridCol w:w="1434"/>
        <w:gridCol w:w="1749"/>
        <w:gridCol w:w="1259"/>
        <w:gridCol w:w="1749"/>
        <w:gridCol w:w="1437"/>
        <w:gridCol w:w="1749"/>
        <w:gridCol w:w="1590"/>
      </w:tblGrid>
      <w:tr w:rsidR="00C35E09" w:rsidRPr="0090225C" w:rsidTr="00876229">
        <w:trPr>
          <w:cnfStyle w:val="10000000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1D65CF" w:rsidRDefault="0090225C" w:rsidP="0090225C">
            <w:pPr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Section/Topic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1D65CF" w:rsidRDefault="0090225C" w:rsidP="0090225C">
            <w:pPr>
              <w:jc w:val="center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Item no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1D65CF" w:rsidRDefault="0090225C" w:rsidP="0090225C">
            <w:pPr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Standard checklist item</w:t>
            </w:r>
          </w:p>
        </w:tc>
        <w:tc>
          <w:tcPr>
            <w:tcW w:w="509" w:type="pct"/>
            <w:shd w:val="clear" w:color="auto" w:fill="auto"/>
          </w:tcPr>
          <w:p w:rsidR="0090225C" w:rsidRPr="001D65CF" w:rsidRDefault="0090225C" w:rsidP="00C35E09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1D65CF" w:rsidRDefault="0090225C" w:rsidP="0090225C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Extension for cluster designs</w:t>
            </w:r>
          </w:p>
        </w:tc>
        <w:tc>
          <w:tcPr>
            <w:tcW w:w="447" w:type="pct"/>
            <w:shd w:val="clear" w:color="auto" w:fill="auto"/>
          </w:tcPr>
          <w:p w:rsidR="0090225C" w:rsidRPr="001D65CF" w:rsidRDefault="0090225C" w:rsidP="000064B5">
            <w:pPr>
              <w:tabs>
                <w:tab w:val="left" w:pos="2869"/>
              </w:tabs>
              <w:ind w:right="884"/>
              <w:jc w:val="center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1D65CF" w:rsidRDefault="0090225C" w:rsidP="00F808E7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Extension for PROs</w:t>
            </w:r>
          </w:p>
        </w:tc>
        <w:tc>
          <w:tcPr>
            <w:tcW w:w="510" w:type="pct"/>
            <w:shd w:val="clear" w:color="auto" w:fill="auto"/>
          </w:tcPr>
          <w:p w:rsidR="0090225C" w:rsidRPr="001D65CF" w:rsidRDefault="0090225C" w:rsidP="000064B5">
            <w:pPr>
              <w:tabs>
                <w:tab w:val="left" w:pos="2869"/>
              </w:tabs>
              <w:ind w:right="884"/>
              <w:jc w:val="center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1D65CF" w:rsidRDefault="00781061" w:rsidP="00F808E7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Extension for H</w:t>
            </w:r>
            <w:r w:rsidR="0090225C" w:rsidRPr="001D65CF">
              <w:rPr>
                <w:rFonts w:eastAsia="Times New Roman" w:cs="Arial"/>
                <w:color w:val="auto"/>
                <w:sz w:val="16"/>
                <w:szCs w:val="16"/>
              </w:rPr>
              <w:t>arms</w:t>
            </w:r>
          </w:p>
        </w:tc>
        <w:tc>
          <w:tcPr>
            <w:tcW w:w="564" w:type="pct"/>
            <w:shd w:val="clear" w:color="auto" w:fill="auto"/>
          </w:tcPr>
          <w:p w:rsidR="0090225C" w:rsidRPr="001D65CF" w:rsidRDefault="00975695" w:rsidP="00F808E7">
            <w:pPr>
              <w:tabs>
                <w:tab w:val="left" w:pos="2869"/>
              </w:tabs>
              <w:ind w:right="884"/>
              <w:cnfStyle w:val="100000000000"/>
              <w:rPr>
                <w:rFonts w:eastAsia="Times New Roman" w:cs="Arial"/>
                <w:color w:val="auto"/>
                <w:sz w:val="16"/>
                <w:szCs w:val="16"/>
              </w:rPr>
            </w:pPr>
            <w:r w:rsidRPr="001D65CF">
              <w:rPr>
                <w:rFonts w:eastAsia="Times New Roman" w:cs="Arial"/>
                <w:color w:val="auto"/>
                <w:sz w:val="16"/>
                <w:szCs w:val="16"/>
              </w:rPr>
              <w:t>Section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690" w:type="pct"/>
            <w:gridSpan w:val="3"/>
            <w:shd w:val="clear" w:color="auto" w:fill="auto"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547" w:type="pct"/>
            <w:gridSpan w:val="3"/>
            <w:shd w:val="clear" w:color="auto" w:fill="auto"/>
            <w:hideMark/>
          </w:tcPr>
          <w:p w:rsidR="0090225C" w:rsidRPr="0090225C" w:rsidRDefault="0090225C" w:rsidP="00876229">
            <w:pPr>
              <w:ind w:left="-197" w:firstLine="80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Title and abstract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90225C" w:rsidP="00F808E7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 w:val="restar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Identification as a randomised trial in the title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Identification as a cluster randomised trial in the title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781061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If the study collected data on harms and benefits, the title or abstract should so state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C35E09" w:rsidP="00F808E7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Title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1b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E91860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Structured summary of trial design, methods, results, and conclusions (for specific guidance see CONSORT for abstracts</w:t>
            </w:r>
            <w:r w:rsidR="00E91860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  <w:highlight w:val="yellow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PRO should be identified in the abstract as a primary or secondary outcome</w:t>
            </w: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90225C" w:rsidRPr="0090225C" w:rsidRDefault="00C35E09" w:rsidP="00F808E7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Abstract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690" w:type="pct"/>
            <w:gridSpan w:val="3"/>
            <w:shd w:val="clear" w:color="auto" w:fill="auto"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547" w:type="pct"/>
            <w:gridSpan w:val="3"/>
            <w:shd w:val="clear" w:color="auto" w:fill="auto"/>
            <w:hideMark/>
          </w:tcPr>
          <w:p w:rsidR="0090225C" w:rsidRPr="0090225C" w:rsidRDefault="0090225C" w:rsidP="00876229">
            <w:pPr>
              <w:ind w:left="-117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Introduction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Background and objectives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2a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Scientific background and explanation of rationale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Rationale for using a cluster design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Including background and rationale for PRO assessment</w:t>
            </w: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781061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If the trial addresses both harms and benefits, the introduction should so state</w:t>
            </w:r>
          </w:p>
        </w:tc>
        <w:tc>
          <w:tcPr>
            <w:tcW w:w="564" w:type="pct"/>
            <w:shd w:val="clear" w:color="auto" w:fill="auto"/>
          </w:tcPr>
          <w:p w:rsidR="0090225C" w:rsidRPr="0090225C" w:rsidRDefault="00C35E09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Introduction</w:t>
            </w:r>
            <w:r w:rsidR="00D73E5C">
              <w:rPr>
                <w:rFonts w:eastAsia="Times New Roman" w:cs="Arial"/>
                <w:sz w:val="16"/>
                <w:szCs w:val="16"/>
              </w:rPr>
              <w:t xml:space="preserve"> &amp; Study design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2b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Specific objectives or hypotheses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Whether objectives pertain to the cluster level, the individual participant level or both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PRO hypothesis should be stated and relevant domains identified if applicable</w:t>
            </w: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D73E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Introduction and Study design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690" w:type="pct"/>
            <w:gridSpan w:val="3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547" w:type="pct"/>
            <w:gridSpan w:val="3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876229">
            <w:pPr>
              <w:ind w:left="-117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Methods</w:t>
            </w:r>
          </w:p>
        </w:tc>
        <w:tc>
          <w:tcPr>
            <w:tcW w:w="447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Trial design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3a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Description of trial design (such as parallel, factorial) including allocation ratio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010000"/>
              <w:rPr>
                <w:rFonts w:eastAsia="Times New Roman" w:cs="Arial"/>
                <w:color w:val="000000" w:themeColor="text1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Definition of cluster and description of how the design features apply to the clusters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3C4255">
            <w:pPr>
              <w:cnfStyle w:val="00000001000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3C4255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3C4255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3C4255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D73E5C" w:rsidP="007B145E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Study design</w:t>
            </w:r>
            <w:r w:rsidR="007B145E">
              <w:rPr>
                <w:rFonts w:eastAsia="Times New Roman" w:cs="Arial"/>
                <w:sz w:val="16"/>
                <w:szCs w:val="16"/>
              </w:rPr>
              <w:t xml:space="preserve">, </w:t>
            </w:r>
            <w:r>
              <w:rPr>
                <w:rFonts w:eastAsia="Times New Roman" w:cs="Arial"/>
                <w:sz w:val="16"/>
                <w:szCs w:val="16"/>
              </w:rPr>
              <w:t>Participants</w:t>
            </w:r>
            <w:r w:rsidR="007B145E">
              <w:rPr>
                <w:rFonts w:eastAsia="Times New Roman" w:cs="Arial"/>
                <w:sz w:val="16"/>
                <w:szCs w:val="16"/>
              </w:rPr>
              <w:t xml:space="preserve"> &amp; Interventions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3b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Important changes to methods after trial commencement (such as eligibility criteria), with reasons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D73E5C" w:rsidRDefault="00D73E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D73E5C">
              <w:rPr>
                <w:rFonts w:eastAsia="Times New Roman" w:cs="Arial"/>
                <w:sz w:val="16"/>
                <w:szCs w:val="16"/>
              </w:rPr>
              <w:t>Deviations from protocol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 w:val="restar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Participants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4a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Eligibility criteria for participants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  <w:p w:rsidR="000064B5" w:rsidRPr="0090225C" w:rsidRDefault="000064B5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Eligibility criteria for clusters 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Not PRO specific, unless the PROs were used in eligibility or stratification criteria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D73E5C" w:rsidP="007B145E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Participants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4b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Settings and locations where the data were collected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90225C" w:rsidRPr="00111C06" w:rsidRDefault="007B145E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111C06">
              <w:rPr>
                <w:rFonts w:eastAsia="Times New Roman" w:cs="Arial"/>
                <w:sz w:val="16"/>
                <w:szCs w:val="16"/>
              </w:rPr>
              <w:t>Setting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Interventions</w:t>
            </w:r>
          </w:p>
        </w:tc>
        <w:tc>
          <w:tcPr>
            <w:tcW w:w="187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5</w:t>
            </w:r>
          </w:p>
        </w:tc>
        <w:tc>
          <w:tcPr>
            <w:tcW w:w="455" w:type="pct"/>
            <w:gridSpan w:val="2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The interventions for each group with sufficient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details to allow replication, including how and when they were actually administered</w:t>
            </w:r>
          </w:p>
        </w:tc>
        <w:tc>
          <w:tcPr>
            <w:tcW w:w="509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Whether interventions pertain to the cluster level, the individual participant level or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both</w:t>
            </w:r>
          </w:p>
        </w:tc>
        <w:tc>
          <w:tcPr>
            <w:tcW w:w="447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7B145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Interventions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Outcomes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6a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Completely defined pre-specified primary and secondary outcome measures, including how and when they were assessed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Whether outcome measures pertain to the  cluster level, the individual participant level or both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Evidence of PRO instrument validity and reliability should be provided or cited if available including the person completing the PRO and methods of data collection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Default="00781061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List addressed adverse events with definitions for each </w:t>
            </w:r>
          </w:p>
          <w:p w:rsidR="00781061" w:rsidRPr="0090225C" w:rsidRDefault="00781061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Clarify how harms-related information was collected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Default="007B145E" w:rsidP="00F808E7">
            <w:pPr>
              <w:jc w:val="both"/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Outcomes &amp; Adverse events</w:t>
            </w:r>
          </w:p>
          <w:p w:rsidR="00781061" w:rsidRDefault="00781061" w:rsidP="00F808E7">
            <w:pPr>
              <w:jc w:val="both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  <w:p w:rsidR="00781061" w:rsidRPr="0090225C" w:rsidRDefault="00111C06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Patient recruitment and data retrieval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6b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Any changes to trial outcomes after the trial commenced, with reasons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111C06" w:rsidRDefault="00111C06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111C06">
              <w:rPr>
                <w:rFonts w:eastAsia="Times New Roman" w:cs="Arial"/>
                <w:sz w:val="16"/>
                <w:szCs w:val="16"/>
              </w:rPr>
              <w:t>Secondary individual outcomes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Sample size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7a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How sample size was determined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566A3F">
              <w:rPr>
                <w:rFonts w:cs="Arial"/>
                <w:sz w:val="16"/>
                <w:szCs w:val="16"/>
              </w:rPr>
              <w:t xml:space="preserve">Method of calculation, number of clusters(s) (and whether equal or unequal cluster sizes are assumed), cluster size, a coefficient of </w:t>
            </w:r>
            <w:proofErr w:type="spellStart"/>
            <w:r w:rsidRPr="00566A3F">
              <w:rPr>
                <w:rFonts w:cs="Arial"/>
                <w:sz w:val="16"/>
                <w:szCs w:val="16"/>
              </w:rPr>
              <w:t>intracluster</w:t>
            </w:r>
            <w:proofErr w:type="spellEnd"/>
            <w:r w:rsidRPr="00566A3F">
              <w:rPr>
                <w:rFonts w:cs="Arial"/>
                <w:sz w:val="16"/>
                <w:szCs w:val="16"/>
              </w:rPr>
              <w:t xml:space="preserve"> correlation (ICC or </w:t>
            </w:r>
            <w:r w:rsidRPr="00566A3F">
              <w:rPr>
                <w:rFonts w:cs="Arial"/>
                <w:i/>
                <w:sz w:val="16"/>
                <w:szCs w:val="16"/>
              </w:rPr>
              <w:t>k</w:t>
            </w:r>
            <w:r w:rsidRPr="00566A3F">
              <w:rPr>
                <w:rFonts w:cs="Arial"/>
                <w:sz w:val="16"/>
                <w:szCs w:val="16"/>
              </w:rPr>
              <w:t>), and an indication of its uncertainty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Not required for PRO unless it is a primary study outcome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111C06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Sample size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7b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When applicable, explanation of any interim analyses and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stopping guidelines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111C06" w:rsidRDefault="00111C06" w:rsidP="00F808E7">
            <w:pPr>
              <w:jc w:val="both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111C06">
              <w:rPr>
                <w:rFonts w:eastAsia="Times New Roman" w:cs="Arial"/>
                <w:sz w:val="16"/>
                <w:szCs w:val="16"/>
              </w:rPr>
              <w:t>n/a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shd w:val="clear" w:color="auto" w:fill="auto"/>
            <w:hideMark/>
          </w:tcPr>
          <w:p w:rsidR="00876229" w:rsidRDefault="00876229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Randomisation:</w:t>
            </w:r>
          </w:p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Sequence generation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8a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Method used to generate the random allocation sequence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111C06" w:rsidRDefault="00111C06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111C06">
              <w:rPr>
                <w:rFonts w:eastAsia="Times New Roman"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8b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Type of randomisation; details of any restriction (such as blocking and block size)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cs="Arial"/>
                <w:sz w:val="16"/>
                <w:szCs w:val="16"/>
              </w:rPr>
              <w:t>Details of stratification or matching if used</w:t>
            </w: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90225C" w:rsidRPr="0090225C" w:rsidRDefault="00111C06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F808E7">
        <w:trPr>
          <w:cnfStyle w:val="000000100000"/>
        </w:trPr>
        <w:tc>
          <w:tcPr>
            <w:cnfStyle w:val="001000000000"/>
            <w:tcW w:w="465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876229" w:rsidRDefault="00876229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Randomisation:</w:t>
            </w:r>
          </w:p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Allocation concealment mechanism</w:t>
            </w:r>
          </w:p>
        </w:tc>
        <w:tc>
          <w:tcPr>
            <w:tcW w:w="187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9</w:t>
            </w:r>
          </w:p>
        </w:tc>
        <w:tc>
          <w:tcPr>
            <w:tcW w:w="455" w:type="pct"/>
            <w:gridSpan w:val="2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Mechanism used to implement the random allocation sequence (such as sequentially numbered containers), describing any steps taken to conceal the sequence until interventions were assigned</w:t>
            </w:r>
          </w:p>
        </w:tc>
        <w:tc>
          <w:tcPr>
            <w:tcW w:w="509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Specification that </w:t>
            </w:r>
            <w:r w:rsidRPr="0090225C">
              <w:rPr>
                <w:rFonts w:cs="Arial"/>
                <w:sz w:val="16"/>
                <w:szCs w:val="16"/>
              </w:rPr>
              <w:t>allocation was based on clusters rather than individuals and whether allocation concealment (if any) was at the cluster level, the individual participant level or both</w:t>
            </w:r>
          </w:p>
        </w:tc>
        <w:tc>
          <w:tcPr>
            <w:tcW w:w="447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553C90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Randomisat</w:t>
            </w:r>
            <w:r w:rsidR="00F808E7">
              <w:rPr>
                <w:rFonts w:eastAsia="Times New Roman" w:cs="Arial"/>
                <w:sz w:val="16"/>
                <w:szCs w:val="16"/>
              </w:rPr>
              <w:t>i</w:t>
            </w:r>
            <w:r>
              <w:rPr>
                <w:rFonts w:eastAsia="Times New Roman" w:cs="Arial"/>
                <w:sz w:val="16"/>
                <w:szCs w:val="16"/>
              </w:rPr>
              <w:t>on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tcBorders>
              <w:bottom w:val="nil"/>
            </w:tcBorders>
            <w:shd w:val="clear" w:color="auto" w:fill="auto"/>
            <w:hideMark/>
          </w:tcPr>
          <w:p w:rsidR="00876229" w:rsidRDefault="00876229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Randomisation:</w:t>
            </w:r>
          </w:p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Implementation</w:t>
            </w:r>
          </w:p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10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Who generated the random allocation sequence, who enrolled participants, and who assigned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participants to interventions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Replace by 10a, 10b and 10c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553C90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B54592">
        <w:trPr>
          <w:cnfStyle w:val="000000100000"/>
        </w:trPr>
        <w:tc>
          <w:tcPr>
            <w:cnfStyle w:val="001000000000"/>
            <w:tcW w:w="46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10a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Who generated the random allocation sequence, who enrolled clusters, and who assigned clusters to interventions</w:t>
            </w:r>
          </w:p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553C90" w:rsidP="0090225C">
            <w:pPr>
              <w:pStyle w:val="CommentText"/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10b</w:t>
            </w:r>
          </w:p>
        </w:tc>
        <w:tc>
          <w:tcPr>
            <w:tcW w:w="455" w:type="pct"/>
            <w:gridSpan w:val="2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90225C">
              <w:rPr>
                <w:rFonts w:cs="Arial"/>
                <w:sz w:val="16"/>
                <w:szCs w:val="16"/>
              </w:rPr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447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nil"/>
            </w:tcBorders>
            <w:shd w:val="clear" w:color="auto" w:fill="auto"/>
          </w:tcPr>
          <w:p w:rsidR="0090225C" w:rsidRPr="0090225C" w:rsidRDefault="00553C90" w:rsidP="0090225C">
            <w:pPr>
              <w:pStyle w:val="CommentText"/>
              <w:cnfStyle w:val="00000001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B54592">
        <w:trPr>
          <w:cnfStyle w:val="000000100000"/>
        </w:trPr>
        <w:tc>
          <w:tcPr>
            <w:cnfStyle w:val="001000000000"/>
            <w:tcW w:w="465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10c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0064B5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cs="Arial"/>
                <w:sz w:val="16"/>
                <w:szCs w:val="16"/>
              </w:rPr>
              <w:t>From whom consent was sought (representatives of the cluster, or individual cluster members, or both), and whether consent was sought before or after randomisation</w:t>
            </w: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553C90" w:rsidP="0090225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Participants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Blinding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11a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If done, who was blinded after assignment to interventions (for example, participants, care providers, those assessing outcomes) and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how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553C90" w:rsidRDefault="00553C90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553C90">
              <w:rPr>
                <w:rFonts w:eastAsia="Times New Roman" w:cs="Arial"/>
                <w:sz w:val="16"/>
                <w:szCs w:val="16"/>
              </w:rPr>
              <w:t>Randomisation</w:t>
            </w:r>
          </w:p>
        </w:tc>
      </w:tr>
      <w:tr w:rsidR="00C35E09" w:rsidRPr="0090225C" w:rsidTr="00B54592">
        <w:trPr>
          <w:cnfStyle w:val="000000100000"/>
        </w:trPr>
        <w:tc>
          <w:tcPr>
            <w:cnfStyle w:val="001000000000"/>
            <w:tcW w:w="465" w:type="pct"/>
            <w:vMerge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11b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If relevant, description of the similarity of interventions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553C90" w:rsidRDefault="00553C90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553C90">
              <w:rPr>
                <w:rFonts w:eastAsia="Times New Roman" w:cs="Arial"/>
                <w:sz w:val="16"/>
                <w:szCs w:val="16"/>
              </w:rPr>
              <w:t>n/a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vMerge w:val="restart"/>
            <w:tcBorders>
              <w:top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Statistical methods</w:t>
            </w:r>
          </w:p>
        </w:tc>
        <w:tc>
          <w:tcPr>
            <w:tcW w:w="187" w:type="pct"/>
            <w:tcBorders>
              <w:top w:val="single" w:sz="8" w:space="0" w:color="78C0D4" w:themeColor="accent5" w:themeTint="BF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12a</w:t>
            </w:r>
          </w:p>
        </w:tc>
        <w:tc>
          <w:tcPr>
            <w:tcW w:w="455" w:type="pct"/>
            <w:gridSpan w:val="2"/>
            <w:tcBorders>
              <w:top w:val="single" w:sz="8" w:space="0" w:color="78C0D4" w:themeColor="accent5" w:themeTint="BF"/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Statistical methods used to compare groups for primary and secondary outcomes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cs="Arial"/>
                <w:sz w:val="16"/>
                <w:szCs w:val="16"/>
              </w:rPr>
              <w:t>How clustering was taken into account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Statistical approaches for dealing with missing data are explicitly stated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8834B0" w:rsidP="0090225C">
            <w:pPr>
              <w:cnfStyle w:val="00000001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Describe plans for presenting and analysing information on harms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553C90" w:rsidP="00B54592">
            <w:pPr>
              <w:jc w:val="both"/>
              <w:cnfStyle w:val="00000001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Statistical methods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12b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Methods for additional analyses, such as subgroup analyses and adjusted analyses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90225C" w:rsidRPr="00553C90" w:rsidRDefault="00553C90" w:rsidP="00B54592">
            <w:pPr>
              <w:jc w:val="both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553C90">
              <w:rPr>
                <w:rFonts w:eastAsia="Times New Roman" w:cs="Arial"/>
                <w:sz w:val="16"/>
                <w:szCs w:val="16"/>
              </w:rPr>
              <w:t>Statistical methods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690" w:type="pct"/>
            <w:gridSpan w:val="3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547" w:type="pct"/>
            <w:gridSpan w:val="3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876229">
            <w:pPr>
              <w:ind w:left="-101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Results</w:t>
            </w:r>
          </w:p>
        </w:tc>
        <w:tc>
          <w:tcPr>
            <w:tcW w:w="447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Participant flow (a diagram is strongly recommended)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13a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For each group, the numbers of participants who were randomly assigned, received intended treatment, and were analysed for the primary outcome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For each group, the numbers of clusters that were randomly assigned, received intended treatment, and were analysed for the primary outcome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The number of PRO outcome data at baseline and at subsequent time points should be made transparent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8834B0" w:rsidRDefault="008834B0" w:rsidP="0090225C">
            <w:pPr>
              <w:cnfStyle w:val="000000100000"/>
              <w:rPr>
                <w:rFonts w:eastAsia="Times New Roman" w:cs="Arial"/>
                <w:sz w:val="16"/>
                <w:szCs w:val="16"/>
                <w:highlight w:val="yellow"/>
              </w:rPr>
            </w:pPr>
            <w:r w:rsidRPr="008834B0">
              <w:rPr>
                <w:rFonts w:eastAsia="Times New Roman" w:cs="Arial"/>
                <w:sz w:val="16"/>
                <w:szCs w:val="16"/>
              </w:rPr>
              <w:t xml:space="preserve">Describe for each arm the participant withdrawals that are due to harms and their experiences with the allocated treatment  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90225C" w:rsidRDefault="00C93E19" w:rsidP="00B54592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See CONSORT flowchart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13b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For each group, losses and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exclusions after randomisation, together with reasons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553C90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See CONSORT </w:t>
            </w:r>
            <w:r>
              <w:rPr>
                <w:rFonts w:eastAsia="Times New Roman" w:cs="Arial"/>
                <w:sz w:val="16"/>
                <w:szCs w:val="16"/>
              </w:rPr>
              <w:lastRenderedPageBreak/>
              <w:t>flowchart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Recruitment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14a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Dates defining the periods of recruitment and follow-up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Pr="000D4837" w:rsidRDefault="000D4837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0D4837">
              <w:rPr>
                <w:rFonts w:eastAsia="Times New Roman" w:cs="Arial"/>
                <w:sz w:val="16"/>
                <w:szCs w:val="16"/>
              </w:rPr>
              <w:t xml:space="preserve">Patient recruitment and data retrieval </w:t>
            </w: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vMerge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14b</w:t>
            </w:r>
          </w:p>
        </w:tc>
        <w:tc>
          <w:tcPr>
            <w:tcW w:w="455" w:type="pct"/>
            <w:gridSpan w:val="2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Why the trial ended or was stopped</w:t>
            </w:r>
          </w:p>
        </w:tc>
        <w:tc>
          <w:tcPr>
            <w:tcW w:w="509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</w:tcBorders>
            <w:shd w:val="clear" w:color="auto" w:fill="auto"/>
          </w:tcPr>
          <w:p w:rsidR="0090225C" w:rsidRPr="000D4837" w:rsidRDefault="000D4837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0D4837">
              <w:rPr>
                <w:rFonts w:eastAsia="Times New Roman" w:cs="Arial"/>
                <w:sz w:val="16"/>
                <w:szCs w:val="16"/>
              </w:rPr>
              <w:t>n/a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Baseline data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15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A table showing baseline demographic and clinical characteristics for each group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cs="Arial"/>
                <w:sz w:val="16"/>
                <w:szCs w:val="16"/>
              </w:rPr>
              <w:t>Baseline characteristics for the individual and cluster levels as applicable for each group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Including baseline PRO data when collected</w:t>
            </w:r>
          </w:p>
        </w:tc>
        <w:tc>
          <w:tcPr>
            <w:tcW w:w="510" w:type="pct"/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n/a</w:t>
            </w: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0D4837" w:rsidP="0090225C">
            <w:pPr>
              <w:cnfStyle w:val="0000001000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Tables 2 &amp; 8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Numbers analysed</w:t>
            </w:r>
          </w:p>
        </w:tc>
        <w:tc>
          <w:tcPr>
            <w:tcW w:w="187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16</w:t>
            </w:r>
          </w:p>
        </w:tc>
        <w:tc>
          <w:tcPr>
            <w:tcW w:w="455" w:type="pct"/>
            <w:gridSpan w:val="2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509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For each group, number of </w:t>
            </w:r>
            <w:r w:rsidRPr="0090225C">
              <w:rPr>
                <w:rFonts w:cs="Arial"/>
                <w:sz w:val="16"/>
                <w:szCs w:val="16"/>
              </w:rPr>
              <w:t xml:space="preserve">clusters </w:t>
            </w:r>
            <w:r w:rsidRPr="0090225C">
              <w:rPr>
                <w:rFonts w:eastAsia="Times New Roman" w:cs="Arial"/>
                <w:sz w:val="16"/>
                <w:szCs w:val="16"/>
              </w:rPr>
              <w:t>included in each analysis</w:t>
            </w:r>
          </w:p>
        </w:tc>
        <w:tc>
          <w:tcPr>
            <w:tcW w:w="447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4F7EB6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Required for PRO results</w:t>
            </w:r>
          </w:p>
        </w:tc>
        <w:tc>
          <w:tcPr>
            <w:tcW w:w="510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8834B0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Provide the denominators for analyses on harms</w:t>
            </w:r>
          </w:p>
        </w:tc>
        <w:tc>
          <w:tcPr>
            <w:tcW w:w="564" w:type="pct"/>
            <w:tcBorders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0D4837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Recruitment, participant flow and questionnaire response rates</w:t>
            </w:r>
          </w:p>
        </w:tc>
      </w:tr>
      <w:tr w:rsidR="00C35E09" w:rsidRPr="0090225C" w:rsidTr="00B54592">
        <w:trPr>
          <w:cnfStyle w:val="000000100000"/>
        </w:trPr>
        <w:tc>
          <w:tcPr>
            <w:cnfStyle w:val="001000000000"/>
            <w:tcW w:w="465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Outcomes and estimation</w:t>
            </w:r>
          </w:p>
        </w:tc>
        <w:tc>
          <w:tcPr>
            <w:tcW w:w="187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17a</w:t>
            </w:r>
          </w:p>
        </w:tc>
        <w:tc>
          <w:tcPr>
            <w:tcW w:w="455" w:type="pct"/>
            <w:gridSpan w:val="2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For each primary and secondary outcome, results for each group, and the estimated effect size and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its precision (such as 95% confidence interval)</w:t>
            </w:r>
          </w:p>
        </w:tc>
        <w:tc>
          <w:tcPr>
            <w:tcW w:w="509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Results at </w:t>
            </w:r>
            <w:r w:rsidRPr="0090225C">
              <w:rPr>
                <w:rFonts w:eastAsia="Calibri" w:cs="Arial"/>
                <w:sz w:val="16"/>
                <w:szCs w:val="16"/>
              </w:rPr>
              <w:t>the individual or cluster level as applicable</w:t>
            </w:r>
            <w:r w:rsidRPr="0090225C">
              <w:rPr>
                <w:rFonts w:cs="Arial"/>
                <w:sz w:val="16"/>
                <w:szCs w:val="16"/>
              </w:rPr>
              <w:t xml:space="preserve"> and a</w:t>
            </w:r>
            <w:r w:rsidRPr="0090225C">
              <w:rPr>
                <w:rFonts w:eastAsia="Calibri" w:cs="Arial"/>
                <w:sz w:val="16"/>
                <w:szCs w:val="16"/>
              </w:rPr>
              <w:t xml:space="preserve"> coefficient </w:t>
            </w:r>
            <w:r w:rsidRPr="0090225C">
              <w:rPr>
                <w:rFonts w:cs="Arial"/>
                <w:sz w:val="16"/>
                <w:szCs w:val="16"/>
              </w:rPr>
              <w:t xml:space="preserve">of </w:t>
            </w:r>
            <w:proofErr w:type="spellStart"/>
            <w:r w:rsidRPr="0090225C">
              <w:rPr>
                <w:rFonts w:cs="Arial"/>
                <w:sz w:val="16"/>
                <w:szCs w:val="16"/>
              </w:rPr>
              <w:t>intracluster</w:t>
            </w:r>
            <w:proofErr w:type="spellEnd"/>
            <w:r w:rsidRPr="0090225C">
              <w:rPr>
                <w:rFonts w:eastAsia="Calibri" w:cs="Arial"/>
                <w:sz w:val="16"/>
                <w:szCs w:val="16"/>
              </w:rPr>
              <w:t xml:space="preserve"> correlation (ICC or k) for each primary outcome</w:t>
            </w:r>
          </w:p>
        </w:tc>
        <w:tc>
          <w:tcPr>
            <w:tcW w:w="447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90225C" w:rsidRPr="0090225C" w:rsidRDefault="004F7EB6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For multidimensional PRO results from each domain and time point</w:t>
            </w:r>
          </w:p>
        </w:tc>
        <w:tc>
          <w:tcPr>
            <w:tcW w:w="510" w:type="pct"/>
            <w:tcBorders>
              <w:bottom w:val="nil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  <w:shd w:val="clear" w:color="auto" w:fill="auto"/>
          </w:tcPr>
          <w:p w:rsidR="00DC050C" w:rsidRDefault="00DC050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Present the absolute risk per arm and per adverse event type, grade, and seriousness, and present appropriate metrics for recurrent events, continuous variables, </w:t>
            </w:r>
            <w:r>
              <w:rPr>
                <w:rFonts w:eastAsia="Times New Roman" w:cs="Arial"/>
                <w:sz w:val="16"/>
                <w:szCs w:val="16"/>
              </w:rPr>
              <w:lastRenderedPageBreak/>
              <w:t>and scale variables, whenever pertinent (refers to items 17, 18, 19)</w:t>
            </w:r>
          </w:p>
          <w:p w:rsidR="0090225C" w:rsidRPr="0090225C" w:rsidRDefault="00DC050C" w:rsidP="00077338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Describe any subgroup analyses and exploratory analyses for harms (refers to items 17, 18, 19</w:t>
            </w:r>
            <w:r w:rsidR="00077338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564" w:type="pct"/>
            <w:tcBorders>
              <w:bottom w:val="nil"/>
            </w:tcBorders>
            <w:shd w:val="clear" w:color="auto" w:fill="auto"/>
          </w:tcPr>
          <w:p w:rsidR="0090225C" w:rsidRDefault="000D4837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lastRenderedPageBreak/>
              <w:t>Principal effects up to one month &amp; Patterns and effects of CCDS usage</w:t>
            </w:r>
          </w:p>
          <w:p w:rsidR="00077338" w:rsidRDefault="00077338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  <w:p w:rsidR="00077338" w:rsidRDefault="00077338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  <w:p w:rsidR="00077338" w:rsidRDefault="00077338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  <w:p w:rsidR="000064B5" w:rsidRDefault="000064B5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  <w:p w:rsidR="00077338" w:rsidRPr="0090225C" w:rsidRDefault="000064B5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See Figure 2</w:t>
            </w:r>
          </w:p>
        </w:tc>
      </w:tr>
      <w:tr w:rsidR="00C35E09" w:rsidRPr="0090225C" w:rsidTr="00B54592">
        <w:trPr>
          <w:cnfStyle w:val="000000010000"/>
        </w:trPr>
        <w:tc>
          <w:tcPr>
            <w:cnfStyle w:val="001000000000"/>
            <w:tcW w:w="465" w:type="pct"/>
            <w:vMerge/>
            <w:tcBorders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8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17b</w:t>
            </w:r>
          </w:p>
        </w:tc>
        <w:tc>
          <w:tcPr>
            <w:tcW w:w="455" w:type="pct"/>
            <w:gridSpan w:val="2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For binary outcomes, presentation of both absolute and relative effect sizes is recommended</w:t>
            </w:r>
          </w:p>
        </w:tc>
        <w:tc>
          <w:tcPr>
            <w:tcW w:w="509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nil"/>
              <w:bottom w:val="single" w:sz="8" w:space="0" w:color="78C0D4" w:themeColor="accent5" w:themeTint="BF"/>
            </w:tcBorders>
            <w:shd w:val="clear" w:color="auto" w:fill="auto"/>
          </w:tcPr>
          <w:p w:rsidR="000D4837" w:rsidRDefault="000D4837" w:rsidP="000D4837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Principal effects up to one month &amp; Patterns and effects of CCDS usage</w:t>
            </w:r>
          </w:p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C35E09" w:rsidRPr="0090225C" w:rsidTr="00B54592">
        <w:trPr>
          <w:cnfStyle w:val="000000100000"/>
        </w:trPr>
        <w:tc>
          <w:tcPr>
            <w:cnfStyle w:val="001000000000"/>
            <w:tcW w:w="465" w:type="pct"/>
            <w:tcBorders>
              <w:top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Ancillary analyses</w:t>
            </w:r>
          </w:p>
        </w:tc>
        <w:tc>
          <w:tcPr>
            <w:tcW w:w="187" w:type="pct"/>
            <w:tcBorders>
              <w:top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18</w:t>
            </w:r>
          </w:p>
        </w:tc>
        <w:tc>
          <w:tcPr>
            <w:tcW w:w="455" w:type="pct"/>
            <w:gridSpan w:val="2"/>
            <w:tcBorders>
              <w:top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509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78C0D4" w:themeColor="accent5" w:themeTint="BF"/>
            </w:tcBorders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90225C" w:rsidRPr="00E87B0E" w:rsidRDefault="00E87B0E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E87B0E">
              <w:rPr>
                <w:rFonts w:eastAsia="Times New Roman" w:cs="Arial"/>
                <w:sz w:val="16"/>
                <w:szCs w:val="16"/>
              </w:rPr>
              <w:t xml:space="preserve">Including </w:t>
            </w:r>
            <w:r>
              <w:rPr>
                <w:rFonts w:eastAsia="Times New Roman" w:cs="Arial"/>
                <w:sz w:val="16"/>
                <w:szCs w:val="16"/>
              </w:rPr>
              <w:t>PRO analyses, where relevant</w:t>
            </w:r>
          </w:p>
        </w:tc>
        <w:tc>
          <w:tcPr>
            <w:tcW w:w="510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90225C" w:rsidRPr="00E87B0E" w:rsidRDefault="00245638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6/7</w:t>
            </w:r>
          </w:p>
        </w:tc>
        <w:tc>
          <w:tcPr>
            <w:tcW w:w="621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tcBorders>
              <w:top w:val="single" w:sz="8" w:space="0" w:color="78C0D4" w:themeColor="accent5" w:themeTint="BF"/>
            </w:tcBorders>
            <w:shd w:val="clear" w:color="auto" w:fill="auto"/>
          </w:tcPr>
          <w:p w:rsidR="000D4837" w:rsidRDefault="000D4837" w:rsidP="000D4837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Principal effects up to one month &amp; Patterns and effects of CCDS usage</w:t>
            </w:r>
          </w:p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Harms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19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051700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All important harms or unintended effects in each group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0D4837" w:rsidRDefault="000D4837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0D4837">
              <w:rPr>
                <w:rFonts w:eastAsia="Times New Roman" w:cs="Arial"/>
                <w:sz w:val="16"/>
                <w:szCs w:val="16"/>
              </w:rPr>
              <w:t>Adverse events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690" w:type="pct"/>
            <w:gridSpan w:val="3"/>
            <w:shd w:val="clear" w:color="auto" w:fill="auto"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547" w:type="pct"/>
            <w:gridSpan w:val="3"/>
            <w:shd w:val="clear" w:color="auto" w:fill="auto"/>
            <w:hideMark/>
          </w:tcPr>
          <w:p w:rsidR="0090225C" w:rsidRPr="0090225C" w:rsidRDefault="0090225C" w:rsidP="00F924E1">
            <w:pPr>
              <w:ind w:hanging="101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Discussion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Limitations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20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Trial limitations, addressing sources of potential bias, imprecision, and, if relevant, multiplicity of analyses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E87B0E" w:rsidRDefault="00E87B0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PRO-specific limitations and implications for </w:t>
            </w:r>
            <w:proofErr w:type="spellStart"/>
            <w:r>
              <w:rPr>
                <w:rFonts w:eastAsia="Times New Roman" w:cs="Arial"/>
                <w:sz w:val="16"/>
                <w:szCs w:val="16"/>
              </w:rPr>
              <w:t>generalisabililty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 xml:space="preserve"> and clinical practice </w:t>
            </w:r>
          </w:p>
        </w:tc>
        <w:tc>
          <w:tcPr>
            <w:tcW w:w="510" w:type="pct"/>
            <w:shd w:val="clear" w:color="auto" w:fill="auto"/>
          </w:tcPr>
          <w:p w:rsidR="0090225C" w:rsidRPr="00E87B0E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DC050C" w:rsidRDefault="00DC050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DC050C">
              <w:rPr>
                <w:rFonts w:eastAsia="Times New Roman" w:cs="Arial"/>
                <w:sz w:val="16"/>
                <w:szCs w:val="16"/>
              </w:rPr>
              <w:t xml:space="preserve">Provide a balanced </w:t>
            </w:r>
            <w:r>
              <w:rPr>
                <w:rFonts w:eastAsia="Times New Roman" w:cs="Arial"/>
                <w:sz w:val="16"/>
                <w:szCs w:val="16"/>
              </w:rPr>
              <w:t xml:space="preserve">discussion of benefits and harms with emphasis on study limitations, </w:t>
            </w:r>
            <w:proofErr w:type="spellStart"/>
            <w:r>
              <w:rPr>
                <w:rFonts w:eastAsia="Times New Roman" w:cs="Arial"/>
                <w:sz w:val="16"/>
                <w:szCs w:val="16"/>
              </w:rPr>
              <w:t>generalisability</w:t>
            </w:r>
            <w:proofErr w:type="spellEnd"/>
            <w:r>
              <w:rPr>
                <w:rFonts w:eastAsia="Times New Roman" w:cs="Arial"/>
                <w:sz w:val="16"/>
                <w:szCs w:val="16"/>
              </w:rPr>
              <w:t>, and other sources of information on harms</w:t>
            </w:r>
            <w:r w:rsidR="00077338">
              <w:rPr>
                <w:rFonts w:eastAsia="Times New Roman" w:cs="Arial"/>
                <w:sz w:val="16"/>
                <w:szCs w:val="16"/>
              </w:rPr>
              <w:t xml:space="preserve"> (refers to items 20,21,22)</w:t>
            </w:r>
          </w:p>
        </w:tc>
        <w:tc>
          <w:tcPr>
            <w:tcW w:w="564" w:type="pct"/>
            <w:shd w:val="clear" w:color="auto" w:fill="auto"/>
          </w:tcPr>
          <w:p w:rsidR="0090225C" w:rsidRDefault="000D4837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Strengths and limitations</w:t>
            </w:r>
          </w:p>
          <w:p w:rsidR="00F178EE" w:rsidRDefault="00F178E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  <w:p w:rsidR="00F178EE" w:rsidRDefault="00F178E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  <w:p w:rsidR="00F178EE" w:rsidRPr="00077338" w:rsidRDefault="00F178E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90225C">
              <w:rPr>
                <w:rFonts w:eastAsia="Times New Roman" w:cs="Arial"/>
                <w:sz w:val="16"/>
                <w:szCs w:val="16"/>
              </w:rPr>
              <w:t>Generalisability</w:t>
            </w:r>
            <w:proofErr w:type="spellEnd"/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21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90225C">
              <w:rPr>
                <w:rFonts w:eastAsia="Times New Roman" w:cs="Arial"/>
                <w:sz w:val="16"/>
                <w:szCs w:val="16"/>
              </w:rPr>
              <w:t>Generalisability</w:t>
            </w:r>
            <w:proofErr w:type="spellEnd"/>
            <w:r w:rsidRPr="0090225C">
              <w:rPr>
                <w:rFonts w:eastAsia="Times New Roman" w:cs="Arial"/>
                <w:sz w:val="16"/>
                <w:szCs w:val="16"/>
              </w:rPr>
              <w:t xml:space="preserve"> (external validity, applicability) of the trial findings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90225C">
              <w:rPr>
                <w:rFonts w:eastAsia="Calibri" w:cs="Arial"/>
                <w:sz w:val="16"/>
                <w:szCs w:val="16"/>
              </w:rPr>
              <w:t>Generalisability</w:t>
            </w:r>
            <w:proofErr w:type="spellEnd"/>
            <w:r w:rsidRPr="0090225C">
              <w:rPr>
                <w:rFonts w:eastAsia="Calibri" w:cs="Arial"/>
                <w:sz w:val="16"/>
                <w:szCs w:val="16"/>
              </w:rPr>
              <w:t xml:space="preserve"> to clusters and/or individual participants (as relevant)</w:t>
            </w: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E87B0E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0D4837" w:rsidRDefault="000D4837" w:rsidP="000D4837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Strengths and limitations &amp; </w:t>
            </w:r>
            <w:r w:rsidR="0050320E">
              <w:rPr>
                <w:rFonts w:eastAsia="Times New Roman" w:cs="Arial"/>
                <w:sz w:val="16"/>
                <w:szCs w:val="16"/>
              </w:rPr>
              <w:t>Implications for policy, practice and research</w:t>
            </w:r>
          </w:p>
          <w:p w:rsidR="0090225C" w:rsidRPr="0090225C" w:rsidRDefault="0090225C" w:rsidP="0090225C">
            <w:pPr>
              <w:cnfStyle w:val="000000100000"/>
              <w:rPr>
                <w:rFonts w:eastAsia="Calibri" w:cs="Arial"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Interpretation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22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Interpretation consistent with results, balancing benefits and harms, and considering other relevant evidence</w:t>
            </w:r>
          </w:p>
        </w:tc>
        <w:tc>
          <w:tcPr>
            <w:tcW w:w="509" w:type="pct"/>
            <w:shd w:val="clear" w:color="auto" w:fill="auto"/>
          </w:tcPr>
          <w:p w:rsidR="002F389B" w:rsidRDefault="002F389B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  <w:p w:rsidR="002F389B" w:rsidRPr="0090225C" w:rsidRDefault="002F389B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E87B0E" w:rsidRDefault="00E87B0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E87B0E">
              <w:rPr>
                <w:rFonts w:eastAsia="Times New Roman" w:cs="Arial"/>
                <w:sz w:val="16"/>
                <w:szCs w:val="16"/>
              </w:rPr>
              <w:t>PRO data should be interpreted in relation to clinical outcomes including survival data where relevant</w:t>
            </w:r>
          </w:p>
        </w:tc>
        <w:tc>
          <w:tcPr>
            <w:tcW w:w="510" w:type="pct"/>
            <w:shd w:val="clear" w:color="auto" w:fill="auto"/>
          </w:tcPr>
          <w:p w:rsidR="0090225C" w:rsidRPr="00E87B0E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50320E" w:rsidRDefault="0050320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50320E">
              <w:rPr>
                <w:rFonts w:eastAsia="Times New Roman" w:cs="Arial"/>
                <w:sz w:val="16"/>
                <w:szCs w:val="16"/>
              </w:rPr>
              <w:t>Implications for policy, practice and research &amp; Conclusion</w:t>
            </w:r>
          </w:p>
        </w:tc>
      </w:tr>
      <w:tr w:rsidR="00C35E09" w:rsidRPr="0090225C" w:rsidTr="00876229">
        <w:trPr>
          <w:cnfStyle w:val="000000100000"/>
        </w:trPr>
        <w:tc>
          <w:tcPr>
            <w:cnfStyle w:val="001000000000"/>
            <w:tcW w:w="1107" w:type="pct"/>
            <w:gridSpan w:val="4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Other information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90225C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C35E09" w:rsidRPr="0090225C" w:rsidTr="00876229">
        <w:trPr>
          <w:cnfStyle w:val="00000001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90225C" w:rsidRPr="0090225C" w:rsidRDefault="0090225C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Registration</w:t>
            </w:r>
          </w:p>
        </w:tc>
        <w:tc>
          <w:tcPr>
            <w:tcW w:w="187" w:type="pct"/>
            <w:shd w:val="clear" w:color="auto" w:fill="auto"/>
            <w:hideMark/>
          </w:tcPr>
          <w:p w:rsidR="0090225C" w:rsidRPr="0090225C" w:rsidRDefault="0090225C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23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Registration number and name of trial registry</w:t>
            </w:r>
          </w:p>
        </w:tc>
        <w:tc>
          <w:tcPr>
            <w:tcW w:w="509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90225C" w:rsidRPr="0090225C" w:rsidRDefault="0090225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90225C" w:rsidRPr="0090225C" w:rsidRDefault="0050320E" w:rsidP="00CE666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</w:t>
            </w:r>
            <w:r w:rsidR="00CE666C">
              <w:rPr>
                <w:rFonts w:eastAsia="Times New Roman" w:cs="Arial"/>
                <w:sz w:val="16"/>
                <w:szCs w:val="16"/>
              </w:rPr>
              <w:t>ubmitted as supplemental information to publisher</w:t>
            </w:r>
          </w:p>
        </w:tc>
      </w:tr>
      <w:tr w:rsidR="0050320E" w:rsidRPr="0090225C" w:rsidTr="00876229">
        <w:trPr>
          <w:cnfStyle w:val="00000010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50320E" w:rsidRPr="0090225C" w:rsidRDefault="0050320E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Protocol</w:t>
            </w:r>
          </w:p>
        </w:tc>
        <w:tc>
          <w:tcPr>
            <w:tcW w:w="187" w:type="pct"/>
            <w:shd w:val="clear" w:color="auto" w:fill="auto"/>
            <w:hideMark/>
          </w:tcPr>
          <w:p w:rsidR="0050320E" w:rsidRPr="0090225C" w:rsidRDefault="0050320E" w:rsidP="0090225C">
            <w:pPr>
              <w:jc w:val="center"/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24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 xml:space="preserve">Where the full trial protocol can be accessed, if </w:t>
            </w: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available</w:t>
            </w:r>
          </w:p>
        </w:tc>
        <w:tc>
          <w:tcPr>
            <w:tcW w:w="509" w:type="pct"/>
            <w:shd w:val="clear" w:color="auto" w:fill="auto"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50320E" w:rsidRPr="0090225C" w:rsidRDefault="0050320E" w:rsidP="0090225C">
            <w:pPr>
              <w:cnfStyle w:val="00000010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50320E" w:rsidRPr="0090225C" w:rsidRDefault="00CE666C" w:rsidP="0050320E">
            <w:pPr>
              <w:cnfStyle w:val="000000100000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Submitted as supplemental information to </w:t>
            </w:r>
            <w:r>
              <w:rPr>
                <w:rFonts w:eastAsia="Times New Roman" w:cs="Arial"/>
                <w:sz w:val="16"/>
                <w:szCs w:val="16"/>
              </w:rPr>
              <w:lastRenderedPageBreak/>
              <w:t>publisher</w:t>
            </w:r>
          </w:p>
        </w:tc>
      </w:tr>
      <w:tr w:rsidR="0050320E" w:rsidRPr="0090225C" w:rsidTr="00876229">
        <w:trPr>
          <w:cnfStyle w:val="000000010000"/>
        </w:trPr>
        <w:tc>
          <w:tcPr>
            <w:cnfStyle w:val="001000000000"/>
            <w:tcW w:w="465" w:type="pct"/>
            <w:shd w:val="clear" w:color="auto" w:fill="auto"/>
            <w:hideMark/>
          </w:tcPr>
          <w:p w:rsidR="0050320E" w:rsidRPr="0090225C" w:rsidRDefault="0050320E" w:rsidP="0090225C">
            <w:pPr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lastRenderedPageBreak/>
              <w:t>Funding</w:t>
            </w:r>
          </w:p>
        </w:tc>
        <w:tc>
          <w:tcPr>
            <w:tcW w:w="187" w:type="pct"/>
            <w:shd w:val="clear" w:color="auto" w:fill="auto"/>
            <w:hideMark/>
          </w:tcPr>
          <w:p w:rsidR="0050320E" w:rsidRPr="0090225C" w:rsidRDefault="0050320E" w:rsidP="0090225C">
            <w:pPr>
              <w:jc w:val="center"/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25</w:t>
            </w:r>
          </w:p>
        </w:tc>
        <w:tc>
          <w:tcPr>
            <w:tcW w:w="455" w:type="pct"/>
            <w:gridSpan w:val="2"/>
            <w:shd w:val="clear" w:color="auto" w:fill="auto"/>
            <w:hideMark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  <w:r w:rsidRPr="0090225C">
              <w:rPr>
                <w:rFonts w:eastAsia="Times New Roman" w:cs="Arial"/>
                <w:sz w:val="16"/>
                <w:szCs w:val="16"/>
              </w:rPr>
              <w:t>Sources of funding and other support (such as supply of drugs), role of funders</w:t>
            </w:r>
          </w:p>
        </w:tc>
        <w:tc>
          <w:tcPr>
            <w:tcW w:w="509" w:type="pct"/>
            <w:shd w:val="clear" w:color="auto" w:fill="auto"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  <w:hideMark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10" w:type="pct"/>
            <w:shd w:val="clear" w:color="auto" w:fill="auto"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621" w:type="pct"/>
            <w:shd w:val="clear" w:color="auto" w:fill="auto"/>
          </w:tcPr>
          <w:p w:rsidR="0050320E" w:rsidRPr="0090225C" w:rsidRDefault="0050320E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564" w:type="pct"/>
            <w:shd w:val="clear" w:color="auto" w:fill="auto"/>
          </w:tcPr>
          <w:p w:rsidR="0050320E" w:rsidRPr="0090225C" w:rsidRDefault="00CE666C" w:rsidP="0090225C">
            <w:pPr>
              <w:cnfStyle w:val="000000010000"/>
              <w:rPr>
                <w:rFonts w:eastAsia="Times New Roman" w:cs="Arial"/>
                <w:b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>Submitted as supplemental information to publisher</w:t>
            </w:r>
          </w:p>
        </w:tc>
      </w:tr>
    </w:tbl>
    <w:p w:rsidR="000849CD" w:rsidRPr="0090225C" w:rsidRDefault="000849CD" w:rsidP="00C35E09">
      <w:pPr>
        <w:ind w:left="993" w:hanging="993"/>
        <w:rPr>
          <w:rFonts w:ascii="Arial" w:hAnsi="Arial" w:cs="Arial"/>
          <w:bCs/>
          <w:i/>
          <w:color w:val="292526"/>
          <w:sz w:val="16"/>
          <w:szCs w:val="16"/>
        </w:rPr>
      </w:pPr>
    </w:p>
    <w:sectPr w:rsidR="000849CD" w:rsidRPr="0090225C" w:rsidSect="00051700">
      <w:endnotePr>
        <w:numFmt w:val="decimal"/>
      </w:endnote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E7" w:rsidRDefault="00F808E7" w:rsidP="00F600A8">
      <w:pPr>
        <w:spacing w:after="0" w:line="240" w:lineRule="auto"/>
      </w:pPr>
      <w:r>
        <w:separator/>
      </w:r>
    </w:p>
  </w:endnote>
  <w:endnote w:type="continuationSeparator" w:id="0">
    <w:p w:rsidR="00F808E7" w:rsidRDefault="00F808E7" w:rsidP="00F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E7" w:rsidRDefault="00F808E7" w:rsidP="00F600A8">
      <w:pPr>
        <w:spacing w:after="0" w:line="240" w:lineRule="auto"/>
      </w:pPr>
      <w:r>
        <w:separator/>
      </w:r>
    </w:p>
  </w:footnote>
  <w:footnote w:type="continuationSeparator" w:id="0">
    <w:p w:rsidR="00F808E7" w:rsidRDefault="00F808E7" w:rsidP="00F6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03124"/>
    <w:multiLevelType w:val="hybridMultilevel"/>
    <w:tmpl w:val="F21C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600A8"/>
    <w:rsid w:val="000017A4"/>
    <w:rsid w:val="000046B4"/>
    <w:rsid w:val="000064B5"/>
    <w:rsid w:val="00033FF8"/>
    <w:rsid w:val="00045282"/>
    <w:rsid w:val="00050660"/>
    <w:rsid w:val="00051700"/>
    <w:rsid w:val="00053B88"/>
    <w:rsid w:val="0005550B"/>
    <w:rsid w:val="00063E25"/>
    <w:rsid w:val="00077338"/>
    <w:rsid w:val="00082DE1"/>
    <w:rsid w:val="000849CD"/>
    <w:rsid w:val="000917C9"/>
    <w:rsid w:val="000D4837"/>
    <w:rsid w:val="000E28DE"/>
    <w:rsid w:val="000F448E"/>
    <w:rsid w:val="00111C06"/>
    <w:rsid w:val="00125C6E"/>
    <w:rsid w:val="001536DD"/>
    <w:rsid w:val="00156604"/>
    <w:rsid w:val="001652C0"/>
    <w:rsid w:val="001704C4"/>
    <w:rsid w:val="00176454"/>
    <w:rsid w:val="00181240"/>
    <w:rsid w:val="001A31AE"/>
    <w:rsid w:val="001D65CF"/>
    <w:rsid w:val="002037A1"/>
    <w:rsid w:val="00203836"/>
    <w:rsid w:val="00245638"/>
    <w:rsid w:val="0026072E"/>
    <w:rsid w:val="00272AA6"/>
    <w:rsid w:val="002778EC"/>
    <w:rsid w:val="00283E86"/>
    <w:rsid w:val="00296F6E"/>
    <w:rsid w:val="002A2C36"/>
    <w:rsid w:val="002B1CC5"/>
    <w:rsid w:val="002B3E34"/>
    <w:rsid w:val="002C3BDF"/>
    <w:rsid w:val="002F389B"/>
    <w:rsid w:val="003251C5"/>
    <w:rsid w:val="00336CFC"/>
    <w:rsid w:val="00374FAD"/>
    <w:rsid w:val="00380147"/>
    <w:rsid w:val="003944B2"/>
    <w:rsid w:val="003A7001"/>
    <w:rsid w:val="003B745B"/>
    <w:rsid w:val="003C0223"/>
    <w:rsid w:val="003C4255"/>
    <w:rsid w:val="003E17E2"/>
    <w:rsid w:val="004314F9"/>
    <w:rsid w:val="004320F7"/>
    <w:rsid w:val="004B4531"/>
    <w:rsid w:val="004C1E67"/>
    <w:rsid w:val="004F7EB6"/>
    <w:rsid w:val="0050320E"/>
    <w:rsid w:val="00513C44"/>
    <w:rsid w:val="00530527"/>
    <w:rsid w:val="00553C90"/>
    <w:rsid w:val="00566A3F"/>
    <w:rsid w:val="00582E1C"/>
    <w:rsid w:val="005849F6"/>
    <w:rsid w:val="00603502"/>
    <w:rsid w:val="00603557"/>
    <w:rsid w:val="006379D7"/>
    <w:rsid w:val="006D7B5A"/>
    <w:rsid w:val="006E59B7"/>
    <w:rsid w:val="00737CE2"/>
    <w:rsid w:val="00766904"/>
    <w:rsid w:val="00781061"/>
    <w:rsid w:val="007920D7"/>
    <w:rsid w:val="007B0ED4"/>
    <w:rsid w:val="007B145E"/>
    <w:rsid w:val="007B6CDF"/>
    <w:rsid w:val="007E744B"/>
    <w:rsid w:val="00801AB5"/>
    <w:rsid w:val="00844473"/>
    <w:rsid w:val="00844A6C"/>
    <w:rsid w:val="00856310"/>
    <w:rsid w:val="00876229"/>
    <w:rsid w:val="008834B0"/>
    <w:rsid w:val="008E331F"/>
    <w:rsid w:val="009021E0"/>
    <w:rsid w:val="0090225C"/>
    <w:rsid w:val="009058E6"/>
    <w:rsid w:val="009112A2"/>
    <w:rsid w:val="00936DEC"/>
    <w:rsid w:val="00940FD7"/>
    <w:rsid w:val="0094277C"/>
    <w:rsid w:val="00975695"/>
    <w:rsid w:val="009A0910"/>
    <w:rsid w:val="009C726C"/>
    <w:rsid w:val="00A46F85"/>
    <w:rsid w:val="00A740FD"/>
    <w:rsid w:val="00A86249"/>
    <w:rsid w:val="00AB3A60"/>
    <w:rsid w:val="00AB7577"/>
    <w:rsid w:val="00AC293E"/>
    <w:rsid w:val="00AC5B17"/>
    <w:rsid w:val="00AD73AD"/>
    <w:rsid w:val="00AF31AA"/>
    <w:rsid w:val="00B26428"/>
    <w:rsid w:val="00B44CAE"/>
    <w:rsid w:val="00B54592"/>
    <w:rsid w:val="00B66F52"/>
    <w:rsid w:val="00B95761"/>
    <w:rsid w:val="00BF43EB"/>
    <w:rsid w:val="00C32EE5"/>
    <w:rsid w:val="00C35E09"/>
    <w:rsid w:val="00C46591"/>
    <w:rsid w:val="00C93E19"/>
    <w:rsid w:val="00CA19D9"/>
    <w:rsid w:val="00CA5763"/>
    <w:rsid w:val="00CB0BCE"/>
    <w:rsid w:val="00CB7EFB"/>
    <w:rsid w:val="00CD506F"/>
    <w:rsid w:val="00CE666C"/>
    <w:rsid w:val="00CF4AB4"/>
    <w:rsid w:val="00D2315E"/>
    <w:rsid w:val="00D33F26"/>
    <w:rsid w:val="00D5205A"/>
    <w:rsid w:val="00D73E5C"/>
    <w:rsid w:val="00DC050C"/>
    <w:rsid w:val="00DD586B"/>
    <w:rsid w:val="00DF0144"/>
    <w:rsid w:val="00E50EC1"/>
    <w:rsid w:val="00E5741A"/>
    <w:rsid w:val="00E664A2"/>
    <w:rsid w:val="00E879C1"/>
    <w:rsid w:val="00E87B0E"/>
    <w:rsid w:val="00E91860"/>
    <w:rsid w:val="00EA579C"/>
    <w:rsid w:val="00EB36A0"/>
    <w:rsid w:val="00EB7FEF"/>
    <w:rsid w:val="00EE707C"/>
    <w:rsid w:val="00F0617B"/>
    <w:rsid w:val="00F178EE"/>
    <w:rsid w:val="00F2241C"/>
    <w:rsid w:val="00F44691"/>
    <w:rsid w:val="00F600A8"/>
    <w:rsid w:val="00F808E7"/>
    <w:rsid w:val="00F9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A8"/>
    <w:pPr>
      <w:spacing w:after="200" w:line="276" w:lineRule="auto"/>
    </w:pPr>
    <w:rPr>
      <w:rFonts w:asciiTheme="minorHAnsi" w:eastAsiaTheme="minorEastAsia" w:hAnsiTheme="minorHAnsi" w:cstheme="minorBid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600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00A8"/>
    <w:rPr>
      <w:rFonts w:asciiTheme="minorHAnsi" w:eastAsiaTheme="minorEastAsia" w:hAnsiTheme="minorHAnsi" w:cstheme="minorBidi"/>
      <w:sz w:val="20"/>
      <w:szCs w:val="20"/>
      <w:lang w:eastAsia="en-GB"/>
    </w:rPr>
  </w:style>
  <w:style w:type="paragraph" w:styleId="EndnoteText">
    <w:name w:val="endnote text"/>
    <w:basedOn w:val="Normal"/>
    <w:link w:val="EndnoteTextChar"/>
    <w:semiHidden/>
    <w:rsid w:val="00F600A8"/>
    <w:pPr>
      <w:spacing w:after="0" w:line="240" w:lineRule="auto"/>
    </w:pPr>
    <w:rPr>
      <w:rFonts w:ascii="Book Antiqua" w:eastAsia="Times New Roman" w:hAnsi="Book Antiqua" w:cs="Times New Roman"/>
      <w:color w:val="000080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F600A8"/>
    <w:rPr>
      <w:rFonts w:ascii="Book Antiqua" w:eastAsia="Times New Roman" w:hAnsi="Book Antiqua" w:cs="Times New Roman"/>
      <w:color w:val="00008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F60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600A8"/>
    <w:rPr>
      <w:b/>
      <w:bCs/>
    </w:rPr>
  </w:style>
  <w:style w:type="character" w:customStyle="1" w:styleId="cit-pub-date">
    <w:name w:val="cit-pub-date"/>
    <w:basedOn w:val="DefaultParagraphFont"/>
    <w:rsid w:val="00F600A8"/>
  </w:style>
  <w:style w:type="character" w:customStyle="1" w:styleId="cit-fpage">
    <w:name w:val="cit-fpage"/>
    <w:basedOn w:val="DefaultParagraphFont"/>
    <w:rsid w:val="00F600A8"/>
  </w:style>
  <w:style w:type="character" w:styleId="HTMLCite">
    <w:name w:val="HTML Cite"/>
    <w:basedOn w:val="DefaultParagraphFont"/>
    <w:uiPriority w:val="99"/>
    <w:semiHidden/>
    <w:unhideWhenUsed/>
    <w:rsid w:val="00F600A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00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A8"/>
    <w:rPr>
      <w:rFonts w:asciiTheme="minorHAnsi" w:eastAsiaTheme="minorEastAsia" w:hAnsiTheme="minorHAnsi" w:cstheme="minorBidi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0A8"/>
    <w:rPr>
      <w:rFonts w:asciiTheme="minorHAnsi" w:eastAsiaTheme="minorEastAsia" w:hAnsiTheme="minorHAnsi" w:cstheme="minorBid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A8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Header1">
    <w:name w:val="Header1"/>
    <w:rsid w:val="00801AB5"/>
    <w:pPr>
      <w:tabs>
        <w:tab w:val="center" w:pos="4153"/>
        <w:tab w:val="right" w:pos="8306"/>
      </w:tabs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00A8"/>
    <w:pPr>
      <w:spacing w:after="0" w:line="240" w:lineRule="auto"/>
      <w:ind w:left="220" w:hanging="220"/>
    </w:pPr>
  </w:style>
  <w:style w:type="paragraph" w:styleId="NormalWeb">
    <w:name w:val="Normal (Web)"/>
    <w:basedOn w:val="Normal"/>
    <w:uiPriority w:val="99"/>
    <w:unhideWhenUsed/>
    <w:rsid w:val="0080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1AB5"/>
    <w:pPr>
      <w:ind w:left="720"/>
      <w:contextualSpacing/>
    </w:pPr>
  </w:style>
  <w:style w:type="table" w:styleId="TableGrid">
    <w:name w:val="Table Grid"/>
    <w:basedOn w:val="TableNormal"/>
    <w:uiPriority w:val="59"/>
    <w:rsid w:val="00801AB5"/>
    <w:rPr>
      <w:rFonts w:asciiTheme="minorHAnsi" w:eastAsiaTheme="minorEastAsia" w:hAnsiTheme="minorHAnsi" w:cstheme="minorBidi"/>
      <w:lang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01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AB5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01AB5"/>
    <w:rPr>
      <w:vertAlign w:val="superscript"/>
    </w:rPr>
  </w:style>
  <w:style w:type="table" w:styleId="MediumShading1-Accent5">
    <w:name w:val="Medium Shading 1 Accent 5"/>
    <w:basedOn w:val="TableNormal"/>
    <w:uiPriority w:val="63"/>
    <w:rsid w:val="00801AB5"/>
    <w:rPr>
      <w:rFonts w:asciiTheme="minorHAnsi" w:eastAsiaTheme="minorEastAsia" w:hAnsiTheme="minorHAnsi" w:cstheme="minorBidi"/>
      <w:lang w:eastAsia="en-GB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624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2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68214-F755-4AAA-83C6-91D62D4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mkcampbell</dc:creator>
  <cp:lastModifiedBy>University of Wales Swansea</cp:lastModifiedBy>
  <cp:revision>2</cp:revision>
  <cp:lastPrinted>2014-08-12T15:07:00Z</cp:lastPrinted>
  <dcterms:created xsi:type="dcterms:W3CDTF">2014-08-13T14:24:00Z</dcterms:created>
  <dcterms:modified xsi:type="dcterms:W3CDTF">2014-08-13T14:24:00Z</dcterms:modified>
</cp:coreProperties>
</file>