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rFonts w:ascii="Arial" w:hAnsi="Arial"/>
          <w:sz w:val="20"/>
        </w:rPr>
      </w:pPr>
      <w:r>
        <w:rPr>
          <w:rFonts w:ascii="Arial" w:hAnsi="Arial"/>
          <w:b/>
          <w:sz w:val="20"/>
        </w:rPr>
        <w:t>Table S</w:t>
      </w:r>
      <w:r>
        <w:rPr>
          <w:rFonts w:ascii="Arial" w:hAnsi="Arial"/>
          <w:b/>
          <w:sz w:val="20"/>
        </w:rPr>
        <w:t>6</w:t>
      </w:r>
      <w:r>
        <w:rPr>
          <w:rFonts w:ascii="Arial" w:hAnsi="Arial"/>
          <w:b/>
          <w:sz w:val="20"/>
        </w:rPr>
        <w:t>.</w:t>
      </w:r>
      <w:r>
        <w:rPr>
          <w:rFonts w:ascii="Arial" w:hAnsi="Arial"/>
          <w:sz w:val="20"/>
        </w:rPr>
        <w:t xml:space="preserve"> </w:t>
      </w:r>
      <w:r>
        <w:rPr>
          <w:rFonts w:ascii="Arial" w:hAnsi="Arial"/>
          <w:i/>
          <w:sz w:val="20"/>
        </w:rPr>
        <w:t>Wolbachia</w:t>
      </w:r>
      <w:r>
        <w:rPr>
          <w:rFonts w:ascii="Arial" w:hAnsi="Arial"/>
          <w:sz w:val="20"/>
        </w:rPr>
        <w:t xml:space="preserve"> infection (WI) status has no significant effect on the overall DGRP radiation response.</w:t>
      </w:r>
    </w:p>
    <w:p>
      <w:pPr>
        <w:pStyle w:val="Normal"/>
        <w:spacing w:before="0" w:after="0"/>
        <w:rPr>
          <w:rFonts w:ascii="Arial" w:hAnsi="Arial"/>
          <w:sz w:val="20"/>
        </w:rPr>
      </w:pPr>
      <w:r>
        <w:rPr>
          <w:rFonts w:ascii="Arial" w:hAnsi="Arial"/>
          <w:sz w:val="20"/>
        </w:rPr>
      </w:r>
    </w:p>
    <w:p>
      <w:pPr>
        <w:pStyle w:val="Normal"/>
        <w:spacing w:before="0" w:after="0"/>
        <w:rPr>
          <w:rFonts w:ascii="Arial" w:hAnsi="Arial"/>
          <w:sz w:val="20"/>
        </w:rPr>
      </w:pPr>
      <w:r>
        <w:rPr>
          <w:rFonts w:ascii="Arial" w:hAnsi="Arial"/>
          <w:sz w:val="20"/>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266"/>
        <w:gridCol w:w="2159"/>
        <w:gridCol w:w="1980"/>
        <w:gridCol w:w="628"/>
        <w:gridCol w:w="1085"/>
      </w:tblGrid>
      <w:tr>
        <w:trPr>
          <w:cantSplit w:val="false"/>
        </w:trPr>
        <w:tc>
          <w:tcPr>
            <w:tcW w:w="2266" w:type="dxa"/>
            <w:tcBorders>
              <w:top w:val="nil"/>
              <w:left w:val="nil"/>
              <w:bottom w:val="nil"/>
              <w:insideH w:val="nil"/>
              <w:right w:val="nil"/>
              <w:insideV w:val="nil"/>
            </w:tcBorders>
            <w:shd w:fill="FFFFFF" w:val="clear"/>
          </w:tcPr>
          <w:p>
            <w:pPr>
              <w:pStyle w:val="Normal"/>
              <w:spacing w:before="0" w:after="0"/>
              <w:rPr>
                <w:rFonts w:ascii="Arial" w:hAnsi="Arial"/>
                <w:b/>
                <w:sz w:val="20"/>
              </w:rPr>
            </w:pPr>
            <w:r>
              <w:rPr>
                <w:rFonts w:ascii="Arial" w:hAnsi="Arial"/>
                <w:b/>
                <w:sz w:val="20"/>
              </w:rPr>
              <w:t>Phenotype</w:t>
            </w:r>
          </w:p>
        </w:tc>
        <w:tc>
          <w:tcPr>
            <w:tcW w:w="2159" w:type="dxa"/>
            <w:tcBorders>
              <w:top w:val="nil"/>
              <w:left w:val="nil"/>
              <w:bottom w:val="nil"/>
              <w:insideH w:val="nil"/>
              <w:right w:val="nil"/>
              <w:insideV w:val="nil"/>
            </w:tcBorders>
            <w:shd w:fill="FFFFFF" w:val="clear"/>
          </w:tcPr>
          <w:p>
            <w:pPr>
              <w:pStyle w:val="Normal"/>
              <w:spacing w:before="0" w:after="0"/>
              <w:rPr>
                <w:rFonts w:ascii="Arial" w:hAnsi="Arial"/>
                <w:b/>
                <w:sz w:val="20"/>
              </w:rPr>
            </w:pPr>
            <w:r>
              <w:rPr>
                <w:rFonts w:ascii="Arial" w:hAnsi="Arial"/>
                <w:b/>
                <w:sz w:val="20"/>
              </w:rPr>
              <w:t>WI negative lines</w:t>
            </w:r>
          </w:p>
        </w:tc>
        <w:tc>
          <w:tcPr>
            <w:tcW w:w="1980" w:type="dxa"/>
            <w:tcBorders>
              <w:top w:val="nil"/>
              <w:left w:val="nil"/>
              <w:bottom w:val="nil"/>
              <w:insideH w:val="nil"/>
              <w:right w:val="nil"/>
              <w:insideV w:val="nil"/>
            </w:tcBorders>
            <w:shd w:fill="FFFFFF" w:val="clear"/>
          </w:tcPr>
          <w:p>
            <w:pPr>
              <w:pStyle w:val="Normal"/>
              <w:spacing w:before="0" w:after="0"/>
              <w:rPr>
                <w:rFonts w:ascii="Arial" w:hAnsi="Arial"/>
                <w:b/>
                <w:sz w:val="20"/>
              </w:rPr>
            </w:pPr>
            <w:r>
              <w:rPr>
                <w:rFonts w:ascii="Arial" w:hAnsi="Arial"/>
                <w:b/>
                <w:sz w:val="20"/>
              </w:rPr>
              <w:t>WI positive lines</w:t>
            </w:r>
          </w:p>
        </w:tc>
        <w:tc>
          <w:tcPr>
            <w:tcW w:w="628" w:type="dxa"/>
            <w:tcBorders>
              <w:top w:val="nil"/>
              <w:left w:val="nil"/>
              <w:bottom w:val="nil"/>
              <w:insideH w:val="nil"/>
              <w:right w:val="nil"/>
              <w:insideV w:val="nil"/>
            </w:tcBorders>
            <w:shd w:fill="FFFFFF" w:val="clear"/>
          </w:tcPr>
          <w:p>
            <w:pPr>
              <w:pStyle w:val="Normal"/>
              <w:spacing w:before="0" w:after="0"/>
              <w:rPr>
                <w:rFonts w:ascii="Arial" w:hAnsi="Arial"/>
                <w:b/>
                <w:sz w:val="20"/>
              </w:rPr>
            </w:pPr>
            <w:r>
              <w:rPr>
                <w:rFonts w:ascii="Arial" w:hAnsi="Arial"/>
                <w:b/>
                <w:sz w:val="20"/>
              </w:rPr>
              <w:t>NA</w:t>
            </w:r>
          </w:p>
        </w:tc>
        <w:tc>
          <w:tcPr>
            <w:tcW w:w="1085" w:type="dxa"/>
            <w:tcBorders>
              <w:top w:val="nil"/>
              <w:left w:val="nil"/>
              <w:bottom w:val="nil"/>
              <w:insideH w:val="nil"/>
              <w:right w:val="nil"/>
              <w:insideV w:val="nil"/>
            </w:tcBorders>
            <w:shd w:fill="FFFFFF" w:val="clear"/>
          </w:tcPr>
          <w:p>
            <w:pPr>
              <w:pStyle w:val="Normal"/>
              <w:spacing w:before="0" w:after="0"/>
              <w:rPr>
                <w:rFonts w:ascii="Arial" w:hAnsi="Arial"/>
                <w:b/>
                <w:sz w:val="20"/>
              </w:rPr>
            </w:pPr>
            <w:r>
              <w:rPr>
                <w:rFonts w:ascii="Arial" w:hAnsi="Arial"/>
                <w:b/>
                <w:sz w:val="20"/>
              </w:rPr>
              <w:t>ND</w:t>
            </w:r>
          </w:p>
        </w:tc>
      </w:tr>
      <w:tr>
        <w:trPr>
          <w:cantSplit w:val="false"/>
        </w:trPr>
        <w:tc>
          <w:tcPr>
            <w:tcW w:w="2266"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Resistant, all</w:t>
            </w:r>
          </w:p>
        </w:tc>
        <w:tc>
          <w:tcPr>
            <w:tcW w:w="2159"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30</w:t>
            </w:r>
          </w:p>
        </w:tc>
        <w:tc>
          <w:tcPr>
            <w:tcW w:w="1980"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32</w:t>
            </w:r>
          </w:p>
        </w:tc>
        <w:tc>
          <w:tcPr>
            <w:tcW w:w="628"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3</w:t>
            </w:r>
          </w:p>
        </w:tc>
        <w:tc>
          <w:tcPr>
            <w:tcW w:w="1085"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1</w:t>
            </w:r>
          </w:p>
        </w:tc>
      </w:tr>
      <w:tr>
        <w:trPr>
          <w:cantSplit w:val="false"/>
        </w:trPr>
        <w:tc>
          <w:tcPr>
            <w:tcW w:w="2266"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Sensitive</w:t>
            </w:r>
          </w:p>
        </w:tc>
        <w:tc>
          <w:tcPr>
            <w:tcW w:w="2159"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46</w:t>
            </w:r>
          </w:p>
        </w:tc>
        <w:tc>
          <w:tcPr>
            <w:tcW w:w="1980"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46</w:t>
            </w:r>
          </w:p>
        </w:tc>
        <w:tc>
          <w:tcPr>
            <w:tcW w:w="628"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2</w:t>
            </w:r>
          </w:p>
        </w:tc>
        <w:tc>
          <w:tcPr>
            <w:tcW w:w="1085" w:type="dxa"/>
            <w:tcBorders>
              <w:top w:val="nil"/>
              <w:left w:val="nil"/>
              <w:bottom w:val="nil"/>
              <w:insideH w:val="nil"/>
              <w:right w:val="nil"/>
              <w:insideV w:val="nil"/>
            </w:tcBorders>
            <w:shd w:fill="FFFFFF" w:val="clear"/>
          </w:tcPr>
          <w:p>
            <w:pPr>
              <w:pStyle w:val="Normal"/>
              <w:spacing w:before="0" w:after="0"/>
              <w:rPr>
                <w:rFonts w:ascii="Arial" w:hAnsi="Arial"/>
                <w:sz w:val="20"/>
              </w:rPr>
            </w:pPr>
            <w:r>
              <w:rPr>
                <w:rFonts w:ascii="Arial" w:hAnsi="Arial"/>
                <w:sz w:val="20"/>
              </w:rPr>
              <w:t>1</w:t>
            </w:r>
          </w:p>
        </w:tc>
      </w:tr>
    </w:tbl>
    <w:p>
      <w:pPr>
        <w:pStyle w:val="Normal"/>
        <w:spacing w:before="0" w:after="0"/>
        <w:rPr>
          <w:rFonts w:ascii="Arial" w:hAnsi="Arial"/>
          <w:sz w:val="20"/>
        </w:rPr>
      </w:pPr>
      <w:r>
        <w:rPr>
          <w:rFonts w:ascii="Arial" w:hAnsi="Arial"/>
          <w:sz w:val="20"/>
        </w:rPr>
      </w:r>
    </w:p>
    <w:p>
      <w:pPr>
        <w:pStyle w:val="Normal"/>
        <w:spacing w:before="0" w:after="0"/>
        <w:rPr>
          <w:rFonts w:ascii="Arial" w:hAnsi="Arial"/>
          <w:sz w:val="20"/>
        </w:rPr>
      </w:pPr>
      <w:r>
        <w:rPr>
          <w:rFonts w:ascii="Arial" w:hAnsi="Arial"/>
          <w:sz w:val="20"/>
        </w:rPr>
        <w:t xml:space="preserve">WI = </w:t>
      </w:r>
      <w:r>
        <w:rPr>
          <w:rFonts w:ascii="Arial" w:hAnsi="Arial"/>
          <w:i/>
          <w:sz w:val="20"/>
        </w:rPr>
        <w:t xml:space="preserve">Wolbachia </w:t>
      </w:r>
      <w:r>
        <w:rPr>
          <w:rFonts w:ascii="Arial" w:hAnsi="Arial"/>
          <w:sz w:val="20"/>
        </w:rPr>
        <w:t>infection</w:t>
      </w:r>
    </w:p>
    <w:p>
      <w:pPr>
        <w:pStyle w:val="Normal"/>
        <w:spacing w:before="0" w:after="0"/>
        <w:rPr>
          <w:rFonts w:ascii="Arial" w:hAnsi="Arial"/>
          <w:sz w:val="20"/>
        </w:rPr>
      </w:pPr>
      <w:r>
        <w:rPr>
          <w:rFonts w:ascii="Arial" w:hAnsi="Arial"/>
          <w:sz w:val="20"/>
        </w:rPr>
        <w:t>NA = not available</w:t>
      </w:r>
    </w:p>
    <w:p>
      <w:pPr>
        <w:pStyle w:val="Normal"/>
        <w:spacing w:before="0" w:after="0"/>
        <w:rPr>
          <w:rFonts w:ascii="Arial" w:hAnsi="Arial"/>
          <w:sz w:val="20"/>
        </w:rPr>
      </w:pPr>
      <w:r>
        <w:rPr>
          <w:rFonts w:ascii="Arial" w:hAnsi="Arial"/>
          <w:sz w:val="20"/>
        </w:rPr>
        <w:t>ND = not determined</w:t>
      </w:r>
    </w:p>
    <w:p>
      <w:pPr>
        <w:pStyle w:val="Normal"/>
        <w:spacing w:before="0" w:after="0"/>
        <w:rPr>
          <w:rFonts w:ascii="Arial" w:hAnsi="Arial"/>
          <w:sz w:val="20"/>
        </w:rPr>
      </w:pPr>
      <w:r>
        <w:rPr>
          <w:rFonts w:ascii="Arial" w:hAnsi="Arial"/>
          <w:sz w:val="20"/>
        </w:rPr>
      </w:r>
    </w:p>
    <w:p>
      <w:pPr>
        <w:pStyle w:val="Normal"/>
        <w:spacing w:before="0" w:after="0"/>
        <w:rPr>
          <w:rFonts w:ascii="Arial" w:hAnsi="Arial"/>
          <w:sz w:val="20"/>
        </w:rPr>
      </w:pPr>
      <w:r>
        <w:rPr>
          <w:rFonts w:ascii="Arial" w:hAnsi="Arial"/>
          <w:sz w:val="20"/>
        </w:rPr>
        <w:t xml:space="preserve">Equal number of WI positive and negative sensitive lines, and almost equal numbers in each category for resistant lines, demonstrate that the WI status has no significant effect on radiation response.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bidi w:val="0"/>
      <w:spacing w:before="0" w:after="200"/>
      <w:jc w:val="left"/>
    </w:pPr>
    <w:rPr>
      <w:rFonts w:ascii="Cambria" w:hAnsi="Cambria" w:eastAsia="DejaVu Sans" w:cs=""/>
      <w:color w:val="00000A"/>
      <w:sz w:val="24"/>
      <w:szCs w:val="24"/>
      <w:lang w:val="en-US" w:eastAsia="en-US"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Arial" w:hAnsi="Arial" w:eastAsia="DejaVu Sans"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2012-06-05T15:51:00Z</dcterms:created>
  <dc:creator>Mahesh Vaishnav</dc:creator>
  <dc:language>en-GB</dc:language>
  <cp:lastModifiedBy>Mahesh Vaishnav</cp:lastModifiedBy>
  <dcterms:modified xsi:type="dcterms:W3CDTF">2013-06-12T14:55:00Z</dcterms:modified>
  <cp:revision>10</cp:revision>
</cp:coreProperties>
</file>