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AB" w:rsidRPr="00151070" w:rsidRDefault="00A462AB" w:rsidP="00A462AB">
      <w:pPr>
        <w:jc w:val="both"/>
        <w:rPr>
          <w:rFonts w:ascii="Arial" w:hAnsi="Arial" w:cs="Arial"/>
          <w:sz w:val="22"/>
          <w:szCs w:val="22"/>
        </w:rPr>
      </w:pPr>
      <w:bookmarkStart w:id="0" w:name="_GoBack"/>
      <w:bookmarkEnd w:id="0"/>
      <w:r w:rsidRPr="00151070">
        <w:rPr>
          <w:rFonts w:ascii="Arial" w:hAnsi="Arial" w:cs="Arial"/>
          <w:b/>
          <w:bCs/>
          <w:sz w:val="22"/>
          <w:szCs w:val="22"/>
        </w:rPr>
        <w:t xml:space="preserve">Supplemental Table </w:t>
      </w:r>
      <w:r>
        <w:rPr>
          <w:rFonts w:ascii="Arial" w:hAnsi="Arial" w:cs="Arial"/>
          <w:b/>
          <w:bCs/>
          <w:sz w:val="22"/>
          <w:szCs w:val="22"/>
        </w:rPr>
        <w:t>3</w:t>
      </w:r>
      <w:r w:rsidRPr="00151070">
        <w:rPr>
          <w:rFonts w:ascii="Arial" w:hAnsi="Arial" w:cs="Arial"/>
          <w:b/>
          <w:bCs/>
          <w:sz w:val="22"/>
          <w:szCs w:val="22"/>
        </w:rPr>
        <w:t>: MAGE antigen status in ovarian cancer</w:t>
      </w:r>
    </w:p>
    <w:p w:rsidR="00A462AB" w:rsidRPr="00151070" w:rsidRDefault="00A462AB" w:rsidP="00A462AB">
      <w:pPr>
        <w:jc w:val="both"/>
        <w:rPr>
          <w:rFonts w:ascii="Arial" w:hAnsi="Arial" w:cs="Arial"/>
          <w:sz w:val="20"/>
          <w:szCs w:val="20"/>
        </w:rPr>
      </w:pPr>
    </w:p>
    <w:tbl>
      <w:tblPr>
        <w:tblW w:w="8780" w:type="dxa"/>
        <w:jc w:val="center"/>
        <w:tblCellMar>
          <w:left w:w="0" w:type="dxa"/>
          <w:right w:w="0" w:type="dxa"/>
        </w:tblCellMar>
        <w:tblLook w:val="01E0" w:firstRow="1" w:lastRow="1" w:firstColumn="1" w:lastColumn="1" w:noHBand="0" w:noVBand="0"/>
      </w:tblPr>
      <w:tblGrid>
        <w:gridCol w:w="2300"/>
        <w:gridCol w:w="2160"/>
        <w:gridCol w:w="2160"/>
        <w:gridCol w:w="2160"/>
      </w:tblGrid>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rPr>
              <w:t>CT Antigen Status</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u w:val="single"/>
              </w:rPr>
              <w:t>rt-PCR</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u w:val="single"/>
              </w:rPr>
              <w:t>IHC</w:t>
            </w:r>
          </w:p>
        </w:tc>
        <w:tc>
          <w:tcPr>
            <w:tcW w:w="2160" w:type="dxa"/>
            <w:vAlign w:val="center"/>
          </w:tcPr>
          <w:p w:rsidR="00A462AB" w:rsidRPr="00151070" w:rsidRDefault="00A462AB" w:rsidP="000A5F69">
            <w:pPr>
              <w:jc w:val="center"/>
              <w:rPr>
                <w:rFonts w:ascii="Arial" w:hAnsi="Arial" w:cs="Arial"/>
                <w:b/>
                <w:bCs/>
                <w:sz w:val="22"/>
                <w:szCs w:val="22"/>
                <w:u w:val="single"/>
              </w:rPr>
            </w:pPr>
            <w:r>
              <w:rPr>
                <w:rFonts w:ascii="Arial" w:hAnsi="Arial" w:cs="Arial"/>
                <w:b/>
                <w:bCs/>
                <w:sz w:val="22"/>
                <w:szCs w:val="22"/>
                <w:u w:val="single"/>
              </w:rPr>
              <w:t>Correlation</w:t>
            </w: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n = 305</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n = 304</w:t>
            </w:r>
          </w:p>
        </w:tc>
        <w:tc>
          <w:tcPr>
            <w:tcW w:w="2160" w:type="dxa"/>
            <w:vAlign w:val="center"/>
          </w:tcPr>
          <w:p w:rsidR="00A462AB" w:rsidRPr="00151070" w:rsidRDefault="00A462AB" w:rsidP="000A5F69">
            <w:pPr>
              <w:jc w:val="center"/>
              <w:rPr>
                <w:rFonts w:ascii="Arial" w:hAnsi="Arial" w:cs="Arial"/>
                <w:sz w:val="22"/>
                <w:szCs w:val="22"/>
              </w:rPr>
            </w:pP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rPr>
              <w:t>MAGE-A1</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42 / 2</w:t>
            </w:r>
            <w:r>
              <w:rPr>
                <w:rFonts w:ascii="Arial" w:hAnsi="Arial" w:cs="Arial"/>
                <w:sz w:val="22"/>
                <w:szCs w:val="22"/>
              </w:rPr>
              <w:t>81</w:t>
            </w:r>
            <w:r w:rsidRPr="00151070">
              <w:rPr>
                <w:rFonts w:ascii="Arial" w:hAnsi="Arial" w:cs="Arial"/>
                <w:sz w:val="22"/>
                <w:szCs w:val="22"/>
              </w:rPr>
              <w:t xml:space="preserve"> (15%)</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w:t>
            </w:r>
          </w:p>
        </w:tc>
        <w:tc>
          <w:tcPr>
            <w:tcW w:w="2160" w:type="dxa"/>
            <w:vAlign w:val="center"/>
          </w:tcPr>
          <w:p w:rsidR="00A462AB" w:rsidRPr="00151070" w:rsidRDefault="00A462AB" w:rsidP="000A5F69">
            <w:pPr>
              <w:jc w:val="center"/>
              <w:rPr>
                <w:rFonts w:ascii="Arial" w:hAnsi="Arial" w:cs="Arial"/>
                <w:sz w:val="22"/>
                <w:szCs w:val="22"/>
              </w:rPr>
            </w:pPr>
            <w:r>
              <w:rPr>
                <w:rFonts w:ascii="Arial" w:hAnsi="Arial" w:cs="Arial"/>
                <w:sz w:val="22"/>
                <w:szCs w:val="22"/>
              </w:rPr>
              <w:t>--</w:t>
            </w: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rPr>
              <w:t>MAGE-A3</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60 / 283 (21%)</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78 / 286 (27%)</w:t>
            </w:r>
          </w:p>
        </w:tc>
        <w:tc>
          <w:tcPr>
            <w:tcW w:w="2160" w:type="dxa"/>
            <w:vAlign w:val="center"/>
          </w:tcPr>
          <w:p w:rsidR="00A462AB" w:rsidRPr="00151070" w:rsidRDefault="00A462AB" w:rsidP="000A5F69">
            <w:pPr>
              <w:jc w:val="center"/>
              <w:rPr>
                <w:rFonts w:ascii="Arial" w:hAnsi="Arial" w:cs="Arial"/>
                <w:sz w:val="22"/>
                <w:szCs w:val="22"/>
              </w:rPr>
            </w:pPr>
            <w:r>
              <w:rPr>
                <w:rFonts w:ascii="Arial" w:hAnsi="Arial" w:cs="Arial"/>
                <w:sz w:val="22"/>
                <w:szCs w:val="22"/>
              </w:rPr>
              <w:t>-0.02 (p=0.773)</w:t>
            </w: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rPr>
              <w:t>MAGE-A4</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114 / 289 (39%)</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106 / 294 (36%)</w:t>
            </w:r>
          </w:p>
        </w:tc>
        <w:tc>
          <w:tcPr>
            <w:tcW w:w="2160" w:type="dxa"/>
            <w:vAlign w:val="center"/>
          </w:tcPr>
          <w:p w:rsidR="00A462AB" w:rsidRPr="00151070" w:rsidRDefault="00A462AB" w:rsidP="000A5F69">
            <w:pPr>
              <w:jc w:val="center"/>
              <w:rPr>
                <w:rFonts w:ascii="Arial" w:hAnsi="Arial" w:cs="Arial"/>
                <w:sz w:val="22"/>
                <w:szCs w:val="22"/>
              </w:rPr>
            </w:pPr>
            <w:r>
              <w:rPr>
                <w:rFonts w:ascii="Arial" w:hAnsi="Arial" w:cs="Arial"/>
                <w:sz w:val="22"/>
                <w:szCs w:val="22"/>
              </w:rPr>
              <w:t>0.31 (p&lt;0.001)</w:t>
            </w: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rPr>
              <w:t>MAGE-A10</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69 / 274 (25%)</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157 / 296 (53%)</w:t>
            </w:r>
          </w:p>
        </w:tc>
        <w:tc>
          <w:tcPr>
            <w:tcW w:w="2160" w:type="dxa"/>
            <w:vAlign w:val="center"/>
          </w:tcPr>
          <w:p w:rsidR="00A462AB" w:rsidRPr="00151070" w:rsidRDefault="00A462AB" w:rsidP="000A5F69">
            <w:pPr>
              <w:jc w:val="center"/>
              <w:rPr>
                <w:rFonts w:ascii="Arial" w:hAnsi="Arial" w:cs="Arial"/>
                <w:sz w:val="22"/>
                <w:szCs w:val="22"/>
              </w:rPr>
            </w:pPr>
            <w:r>
              <w:rPr>
                <w:rFonts w:ascii="Arial" w:hAnsi="Arial" w:cs="Arial"/>
                <w:sz w:val="22"/>
                <w:szCs w:val="22"/>
              </w:rPr>
              <w:t>0.14 (p=0.048)</w:t>
            </w: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b/>
                <w:bCs/>
                <w:sz w:val="22"/>
                <w:szCs w:val="22"/>
              </w:rPr>
              <w:t>MAGE-C1</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4</w:t>
            </w:r>
            <w:r>
              <w:rPr>
                <w:rFonts w:ascii="Arial" w:hAnsi="Arial" w:cs="Arial"/>
                <w:sz w:val="22"/>
                <w:szCs w:val="22"/>
              </w:rPr>
              <w:t>2</w:t>
            </w:r>
            <w:r w:rsidRPr="00151070">
              <w:rPr>
                <w:rFonts w:ascii="Arial" w:hAnsi="Arial" w:cs="Arial"/>
                <w:sz w:val="22"/>
                <w:szCs w:val="22"/>
              </w:rPr>
              <w:t xml:space="preserve"> / 26</w:t>
            </w:r>
            <w:r>
              <w:rPr>
                <w:rFonts w:ascii="Arial" w:hAnsi="Arial" w:cs="Arial"/>
                <w:sz w:val="22"/>
                <w:szCs w:val="22"/>
              </w:rPr>
              <w:t>7</w:t>
            </w:r>
            <w:r w:rsidRPr="00151070">
              <w:rPr>
                <w:rFonts w:ascii="Arial" w:hAnsi="Arial" w:cs="Arial"/>
                <w:sz w:val="22"/>
                <w:szCs w:val="22"/>
              </w:rPr>
              <w:t xml:space="preserve"> (16%)</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w:t>
            </w:r>
          </w:p>
        </w:tc>
        <w:tc>
          <w:tcPr>
            <w:tcW w:w="2160" w:type="dxa"/>
            <w:vAlign w:val="center"/>
          </w:tcPr>
          <w:p w:rsidR="00A462AB" w:rsidRPr="00151070" w:rsidRDefault="00A462AB" w:rsidP="000A5F69">
            <w:pPr>
              <w:jc w:val="center"/>
              <w:rPr>
                <w:rFonts w:ascii="Arial" w:hAnsi="Arial" w:cs="Arial"/>
                <w:sz w:val="22"/>
                <w:szCs w:val="22"/>
              </w:rPr>
            </w:pPr>
            <w:r>
              <w:rPr>
                <w:rFonts w:ascii="Arial" w:hAnsi="Arial" w:cs="Arial"/>
                <w:sz w:val="22"/>
                <w:szCs w:val="22"/>
              </w:rPr>
              <w:t>--</w:t>
            </w:r>
          </w:p>
        </w:tc>
      </w:tr>
      <w:tr w:rsidR="00A462AB" w:rsidRPr="00151070" w:rsidTr="000A5F69">
        <w:trPr>
          <w:trHeight w:val="432"/>
          <w:jc w:val="center"/>
        </w:trPr>
        <w:tc>
          <w:tcPr>
            <w:tcW w:w="230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Pr>
                <w:rFonts w:ascii="Arial" w:hAnsi="Arial" w:cs="Arial"/>
                <w:b/>
                <w:bCs/>
                <w:sz w:val="22"/>
                <w:szCs w:val="22"/>
              </w:rPr>
              <w:t>Any</w:t>
            </w:r>
            <w:r w:rsidRPr="00151070">
              <w:rPr>
                <w:rFonts w:ascii="Arial" w:hAnsi="Arial" w:cs="Arial"/>
                <w:b/>
                <w:bCs/>
                <w:sz w:val="22"/>
                <w:szCs w:val="22"/>
              </w:rPr>
              <w:t xml:space="preserve"> MAGE-A</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174 / 297 (59%)</w:t>
            </w:r>
          </w:p>
        </w:tc>
        <w:tc>
          <w:tcPr>
            <w:tcW w:w="2160" w:type="dxa"/>
            <w:shd w:val="clear" w:color="auto" w:fill="auto"/>
            <w:tcMar>
              <w:top w:w="15" w:type="dxa"/>
              <w:left w:w="108" w:type="dxa"/>
              <w:bottom w:w="0" w:type="dxa"/>
              <w:right w:w="108" w:type="dxa"/>
            </w:tcMar>
            <w:vAlign w:val="center"/>
            <w:hideMark/>
          </w:tcPr>
          <w:p w:rsidR="00A462AB" w:rsidRPr="00151070" w:rsidRDefault="00A462AB" w:rsidP="000A5F69">
            <w:pPr>
              <w:jc w:val="center"/>
              <w:rPr>
                <w:rFonts w:ascii="Arial" w:hAnsi="Arial" w:cs="Arial"/>
                <w:sz w:val="22"/>
                <w:szCs w:val="22"/>
              </w:rPr>
            </w:pPr>
            <w:r w:rsidRPr="00151070">
              <w:rPr>
                <w:rFonts w:ascii="Arial" w:hAnsi="Arial" w:cs="Arial"/>
                <w:sz w:val="22"/>
                <w:szCs w:val="22"/>
              </w:rPr>
              <w:t>218 / 297 (73%)</w:t>
            </w:r>
          </w:p>
        </w:tc>
        <w:tc>
          <w:tcPr>
            <w:tcW w:w="2160" w:type="dxa"/>
            <w:vAlign w:val="center"/>
          </w:tcPr>
          <w:p w:rsidR="00A462AB" w:rsidRPr="00151070" w:rsidRDefault="00A462AB" w:rsidP="000A5F69">
            <w:pPr>
              <w:jc w:val="center"/>
              <w:rPr>
                <w:rFonts w:ascii="Arial" w:hAnsi="Arial" w:cs="Arial"/>
                <w:sz w:val="22"/>
                <w:szCs w:val="22"/>
              </w:rPr>
            </w:pPr>
            <w:r>
              <w:rPr>
                <w:rFonts w:ascii="Arial" w:hAnsi="Arial" w:cs="Arial"/>
                <w:sz w:val="22"/>
                <w:szCs w:val="22"/>
              </w:rPr>
              <w:t>--</w:t>
            </w:r>
          </w:p>
        </w:tc>
      </w:tr>
    </w:tbl>
    <w:p w:rsidR="00A462AB" w:rsidRDefault="00A462AB" w:rsidP="00A462AB">
      <w:pPr>
        <w:jc w:val="both"/>
        <w:rPr>
          <w:rFonts w:ascii="Arial" w:hAnsi="Arial" w:cs="Arial"/>
          <w:b/>
          <w:sz w:val="22"/>
          <w:szCs w:val="22"/>
        </w:rPr>
      </w:pPr>
    </w:p>
    <w:p w:rsidR="00A462AB" w:rsidRDefault="00A462AB" w:rsidP="00A462AB">
      <w:pPr>
        <w:jc w:val="both"/>
        <w:rPr>
          <w:rFonts w:ascii="Arial" w:hAnsi="Arial" w:cs="Arial"/>
          <w:sz w:val="22"/>
          <w:szCs w:val="22"/>
        </w:rPr>
      </w:pPr>
      <w:r w:rsidRPr="00151070">
        <w:rPr>
          <w:rFonts w:ascii="Arial" w:hAnsi="Arial" w:cs="Arial"/>
          <w:sz w:val="22"/>
          <w:szCs w:val="22"/>
        </w:rPr>
        <w:t xml:space="preserve">A total of 305 patients were studied for MAGE expression by rt-PCR. A total of 304 patients were studied for MAGE expression by IHC. The numerator represents the number of antigen positive tumors or serology. The denominator represents the total number of successful assays for each antigen. Antigen specific numbers vary due to assay viability. Percentages represent the frequency of MAGE expression. </w:t>
      </w:r>
    </w:p>
    <w:p w:rsidR="00A462AB" w:rsidRDefault="00A462AB" w:rsidP="00A462AB">
      <w:pPr>
        <w:jc w:val="both"/>
        <w:rPr>
          <w:rFonts w:ascii="Arial" w:hAnsi="Arial" w:cs="Arial"/>
          <w:sz w:val="22"/>
          <w:szCs w:val="22"/>
        </w:rPr>
      </w:pPr>
    </w:p>
    <w:p w:rsidR="00A462AB" w:rsidRDefault="00A462AB" w:rsidP="00A462AB">
      <w:pPr>
        <w:jc w:val="both"/>
        <w:rPr>
          <w:rFonts w:ascii="Arial" w:hAnsi="Arial" w:cs="Arial"/>
          <w:sz w:val="22"/>
          <w:szCs w:val="22"/>
        </w:rPr>
      </w:pPr>
    </w:p>
    <w:p w:rsidR="00A565F6" w:rsidRDefault="00A565F6"/>
    <w:sectPr w:rsidR="00A5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AB"/>
    <w:rsid w:val="000564A3"/>
    <w:rsid w:val="00A462AB"/>
    <w:rsid w:val="00A5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Ryszka, Margaret</dc:creator>
  <cp:lastModifiedBy>Masterson, Joanne</cp:lastModifiedBy>
  <cp:revision>2</cp:revision>
  <dcterms:created xsi:type="dcterms:W3CDTF">2014-07-11T20:02:00Z</dcterms:created>
  <dcterms:modified xsi:type="dcterms:W3CDTF">2014-07-11T20:02:00Z</dcterms:modified>
</cp:coreProperties>
</file>