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6E" w:rsidRDefault="00F4026E"/>
    <w:p w:rsidR="00F4026E" w:rsidRPr="006B1DA7" w:rsidRDefault="00F4026E" w:rsidP="00F4026E">
      <w:pPr>
        <w:ind w:leftChars="-236" w:left="-566"/>
        <w:rPr>
          <w:rFonts w:ascii="Times New Roman" w:hAnsi="Times New Roman"/>
          <w:b/>
        </w:rPr>
      </w:pPr>
      <w:r w:rsidRPr="006B1DA7">
        <w:rPr>
          <w:rFonts w:ascii="Times New Roman" w:eastAsia="ＭＳ Ｐゴシック" w:hAnsi="Times New Roman"/>
          <w:b/>
          <w:color w:val="000000"/>
        </w:rPr>
        <w:t>Table S1. Culture medium used to detect IOLA</w:t>
      </w:r>
    </w:p>
    <w:tbl>
      <w:tblPr>
        <w:tblpPr w:leftFromText="142" w:rightFromText="142" w:horzAnchor="page" w:tblpX="1081" w:tblpY="1205"/>
        <w:tblW w:w="10080" w:type="dxa"/>
        <w:tblCellMar>
          <w:left w:w="99" w:type="dxa"/>
          <w:right w:w="99" w:type="dxa"/>
        </w:tblCellMar>
        <w:tblLook w:val="0000"/>
      </w:tblPr>
      <w:tblGrid>
        <w:gridCol w:w="2001"/>
        <w:gridCol w:w="3543"/>
        <w:gridCol w:w="4536"/>
      </w:tblGrid>
      <w:tr w:rsidR="00F4026E" w:rsidRPr="00B20E28">
        <w:trPr>
          <w:trHeight w:val="340"/>
        </w:trPr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State</w:t>
            </w:r>
            <w:r w:rsidR="0008231A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(agar conc.)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08231A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</w:t>
            </w:r>
            <w:r w:rsidR="00B20E28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</w:t>
            </w:r>
            <w:r w:rsidR="006C1323" w:rsidRPr="00B20E28">
              <w:rPr>
                <w:rFonts w:asciiTheme="majorHAnsi" w:eastAsiaTheme="majorEastAsia" w:hAnsiTheme="majorHAnsi" w:hint="eastAsia"/>
                <w:kern w:val="0"/>
                <w:sz w:val="22"/>
                <w:szCs w:val="14"/>
              </w:rPr>
              <w:t>M</w:t>
            </w:r>
            <w:r w:rsidR="00F4026E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edium</w:t>
            </w:r>
            <w:r w:rsidR="00AE4AAB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Purchased from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323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Agar plate</w:t>
            </w:r>
          </w:p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  <w:r w:rsidR="0008231A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 (</w:t>
            </w: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1.5</w:t>
            </w:r>
            <w:r w:rsidR="00B20E28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</w:t>
            </w: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%</w:t>
            </w:r>
            <w:r w:rsidR="0008231A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Brain Heart Infusion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Becton, Dickinson and Company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Mueller Hinton Broth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Becton, Dickinson and Company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Mycobacteria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7H11 Agar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Becton, Dickinson and Company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Brucella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HK Agar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Kyokuto Pharmaceutical Industrial Co. ltd.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Nutrient Agar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Nissui</w:t>
            </w:r>
            <w:proofErr w:type="spellEnd"/>
            <w:r w:rsidR="00C627D9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Pharmaceutical Industrial Co. ltd.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C627D9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Sheep </w:t>
            </w:r>
            <w:r w:rsidR="00F4026E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Blood Agar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C627D9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Nissui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Pharmaceutical Industrial Co. ltd.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GAM Broth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C627D9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Nissui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Pharmaceutical Industrial Co. ltd.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DNA Agar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C627D9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Nissui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Pharmaceutical Industrial Co. ltd.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RPMI 1640 medium (5% FCS)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C627D9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Nissui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Pharmaceutical Industrial Co. ltd.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Sabouraud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Dextrose Agar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Eiken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Chemical Co. ltd.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SCDLP Agar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Eiken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Chemical Co. ltd.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WYO-α Agar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Eiken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Chemical Co. ltd.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323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Semisolid</w:t>
            </w:r>
          </w:p>
          <w:p w:rsidR="00F4026E" w:rsidRPr="00B20E28" w:rsidRDefault="006C1323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</w:t>
            </w:r>
            <w:r w:rsidR="0008231A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</w:t>
            </w:r>
            <w:r w:rsidR="0008231A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(</w:t>
            </w: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0.15</w:t>
            </w:r>
            <w:r w:rsidR="00B20E28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</w:t>
            </w: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%</w:t>
            </w:r>
            <w:r w:rsidR="0008231A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GAM Semisolid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C627D9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Nissui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Pharmaceutical Industrial Co. ltd.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323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Liquid</w:t>
            </w:r>
          </w:p>
          <w:p w:rsidR="00F4026E" w:rsidRPr="00B20E28" w:rsidRDefault="00C60F76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  <w:r w:rsidR="0008231A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 (</w:t>
            </w: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0</w:t>
            </w:r>
            <w:r w:rsidR="00B20E28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</w:t>
            </w: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%</w:t>
            </w:r>
            <w:r w:rsidR="0008231A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RPMI 1640 medium (10% FCS)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C627D9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Nissui</w:t>
            </w:r>
            <w:proofErr w:type="spellEnd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Pharmaceutical Industrial Co. ltd.</w:t>
            </w:r>
            <w:r w:rsidR="00F4026E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</w:t>
            </w:r>
          </w:p>
        </w:tc>
      </w:tr>
      <w:tr w:rsidR="00F4026E" w:rsidRPr="00B20E28">
        <w:trPr>
          <w:trHeight w:val="340"/>
        </w:trPr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C60F76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 xml:space="preserve">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FCS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26E" w:rsidRPr="00B20E28" w:rsidRDefault="00F4026E" w:rsidP="00B20E28">
            <w:pPr>
              <w:widowControl/>
              <w:snapToGrid w:val="0"/>
              <w:jc w:val="left"/>
              <w:rPr>
                <w:rFonts w:asciiTheme="majorHAnsi" w:eastAsiaTheme="majorEastAsia" w:hAnsiTheme="majorHAnsi"/>
                <w:kern w:val="0"/>
                <w:sz w:val="22"/>
                <w:szCs w:val="14"/>
              </w:rPr>
            </w:pPr>
            <w:proofErr w:type="spellStart"/>
            <w:r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Gibco</w:t>
            </w:r>
            <w:proofErr w:type="spellEnd"/>
            <w:r w:rsidR="00AF45A2" w:rsidRPr="00B20E28">
              <w:rPr>
                <w:rFonts w:asciiTheme="majorHAnsi" w:eastAsiaTheme="majorEastAsia" w:hAnsiTheme="majorHAnsi"/>
                <w:kern w:val="0"/>
                <w:sz w:val="22"/>
                <w:szCs w:val="14"/>
              </w:rPr>
              <w:t>®</w:t>
            </w:r>
          </w:p>
        </w:tc>
      </w:tr>
    </w:tbl>
    <w:p w:rsidR="00AE4AAB" w:rsidRDefault="00AE4AAB"/>
    <w:p w:rsidR="00AE4AAB" w:rsidRDefault="00AE4AAB"/>
    <w:p w:rsidR="0008231A" w:rsidRPr="00B20E28" w:rsidRDefault="008546F3" w:rsidP="00C627D9">
      <w:pPr>
        <w:ind w:leftChars="-177" w:left="-425"/>
        <w:jc w:val="left"/>
        <w:rPr>
          <w:rFonts w:ascii="Times" w:hAnsi="Times"/>
        </w:rPr>
      </w:pPr>
      <w:r w:rsidRPr="00B20E28">
        <w:rPr>
          <w:rFonts w:ascii="Times" w:hAnsi="Times"/>
        </w:rPr>
        <w:t xml:space="preserve">GAM; Gifu Anaerobic Medium, </w:t>
      </w:r>
      <w:r w:rsidR="00C627D9" w:rsidRPr="00B20E28">
        <w:rPr>
          <w:rFonts w:ascii="Times" w:hAnsi="Times"/>
        </w:rPr>
        <w:t>DNA; Deoxy</w:t>
      </w:r>
      <w:r w:rsidR="00B20E28">
        <w:rPr>
          <w:rFonts w:ascii="Times" w:hAnsi="Times"/>
        </w:rPr>
        <w:t>ribo</w:t>
      </w:r>
      <w:r w:rsidR="00C627D9" w:rsidRPr="00B20E28">
        <w:rPr>
          <w:rFonts w:ascii="Times" w:hAnsi="Times"/>
        </w:rPr>
        <w:t>nucleic</w:t>
      </w:r>
      <w:r w:rsidR="00B20E28">
        <w:rPr>
          <w:rFonts w:ascii="Times" w:hAnsi="Times"/>
        </w:rPr>
        <w:t xml:space="preserve"> </w:t>
      </w:r>
      <w:r w:rsidR="00C627D9" w:rsidRPr="00B20E28">
        <w:rPr>
          <w:rFonts w:ascii="Times" w:hAnsi="Times"/>
        </w:rPr>
        <w:t xml:space="preserve">acid, </w:t>
      </w:r>
      <w:r w:rsidRPr="00B20E28">
        <w:rPr>
          <w:rFonts w:ascii="Times" w:hAnsi="Times"/>
        </w:rPr>
        <w:t>RPMI; Roswell Park Memorial Institute, SCDLP; Soybean</w:t>
      </w:r>
      <w:r w:rsidR="0008231A" w:rsidRPr="00B20E28">
        <w:rPr>
          <w:rFonts w:ascii="Times" w:hAnsi="Times"/>
        </w:rPr>
        <w:t>-</w:t>
      </w:r>
      <w:r w:rsidRPr="00B20E28">
        <w:rPr>
          <w:rFonts w:ascii="Times" w:hAnsi="Times"/>
        </w:rPr>
        <w:t>Casein</w:t>
      </w:r>
      <w:r w:rsidR="0008231A" w:rsidRPr="00B20E28">
        <w:rPr>
          <w:rFonts w:ascii="Times" w:hAnsi="Times"/>
        </w:rPr>
        <w:t>-</w:t>
      </w:r>
      <w:r w:rsidRPr="00B20E28">
        <w:rPr>
          <w:rFonts w:ascii="Times" w:hAnsi="Times"/>
        </w:rPr>
        <w:t>Digest</w:t>
      </w:r>
      <w:r w:rsidR="0008231A" w:rsidRPr="00B20E28">
        <w:rPr>
          <w:rFonts w:ascii="Times" w:hAnsi="Times"/>
        </w:rPr>
        <w:t xml:space="preserve">-Lecithin-Polysorbate80, </w:t>
      </w:r>
    </w:p>
    <w:p w:rsidR="00AE4AAB" w:rsidRPr="00B20E28" w:rsidRDefault="0008231A" w:rsidP="00C627D9">
      <w:pPr>
        <w:ind w:leftChars="-177" w:left="-425"/>
        <w:jc w:val="left"/>
        <w:rPr>
          <w:rFonts w:ascii="Times" w:hAnsi="Times"/>
        </w:rPr>
      </w:pPr>
      <w:r w:rsidRPr="00B20E28">
        <w:rPr>
          <w:rFonts w:ascii="Times" w:hAnsi="Times"/>
        </w:rPr>
        <w:t xml:space="preserve">WYO; </w:t>
      </w:r>
      <w:proofErr w:type="spellStart"/>
      <w:r w:rsidRPr="00B20E28">
        <w:rPr>
          <w:rFonts w:ascii="Times" w:hAnsi="Times"/>
        </w:rPr>
        <w:t>Wadowsky</w:t>
      </w:r>
      <w:proofErr w:type="spellEnd"/>
      <w:r w:rsidRPr="00B20E28">
        <w:rPr>
          <w:rFonts w:ascii="Times" w:hAnsi="Times"/>
        </w:rPr>
        <w:t xml:space="preserve">-Yee-Okuda, </w:t>
      </w:r>
      <w:r w:rsidR="00AE4AAB" w:rsidRPr="00B20E28">
        <w:rPr>
          <w:rFonts w:ascii="Times" w:hAnsi="Times"/>
        </w:rPr>
        <w:t>FCS; Fetal Calf Serum</w:t>
      </w:r>
    </w:p>
    <w:p w:rsidR="00904C4E" w:rsidRPr="00B20E28" w:rsidRDefault="00904C4E" w:rsidP="0008231A">
      <w:pPr>
        <w:ind w:left="-177"/>
        <w:jc w:val="left"/>
        <w:rPr>
          <w:rFonts w:ascii="Times" w:hAnsi="Times"/>
        </w:rPr>
      </w:pPr>
    </w:p>
    <w:sectPr w:rsidR="00904C4E" w:rsidRPr="00B20E28" w:rsidSect="00904C4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4026E"/>
    <w:rsid w:val="0008231A"/>
    <w:rsid w:val="00193521"/>
    <w:rsid w:val="005F78B1"/>
    <w:rsid w:val="006B1DA7"/>
    <w:rsid w:val="006C1323"/>
    <w:rsid w:val="00714256"/>
    <w:rsid w:val="007E4E0E"/>
    <w:rsid w:val="008546F3"/>
    <w:rsid w:val="00904C4E"/>
    <w:rsid w:val="00AE4AAB"/>
    <w:rsid w:val="00AF45A2"/>
    <w:rsid w:val="00B20E28"/>
    <w:rsid w:val="00C5786A"/>
    <w:rsid w:val="00C60F76"/>
    <w:rsid w:val="00C627D9"/>
    <w:rsid w:val="00F4026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BA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167</Words>
  <Characters>952</Characters>
  <Application>Microsoft Macintosh Word</Application>
  <DocSecurity>0</DocSecurity>
  <Lines>7</Lines>
  <Paragraphs>1</Paragraphs>
  <ScaleCrop>false</ScaleCrop>
  <Company>産業医科大学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和正</dc:creator>
  <cp:keywords/>
  <cp:lastModifiedBy>福田 和正</cp:lastModifiedBy>
  <cp:revision>4</cp:revision>
  <cp:lastPrinted>2014-04-16T03:25:00Z</cp:lastPrinted>
  <dcterms:created xsi:type="dcterms:W3CDTF">2014-04-16T02:07:00Z</dcterms:created>
  <dcterms:modified xsi:type="dcterms:W3CDTF">2014-04-16T03:48:00Z</dcterms:modified>
</cp:coreProperties>
</file>