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5C" w:rsidRPr="00CF1D23" w:rsidRDefault="004574E5" w:rsidP="005F3FB6">
      <w:pPr>
        <w:spacing w:line="480" w:lineRule="auto"/>
        <w:jc w:val="both"/>
        <w:rPr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Table S</w:t>
      </w:r>
      <w:r w:rsidR="007D28CF">
        <w:rPr>
          <w:b/>
          <w:sz w:val="20"/>
          <w:szCs w:val="20"/>
        </w:rPr>
        <w:t>2</w:t>
      </w:r>
      <w:r w:rsidR="007F4AB3">
        <w:rPr>
          <w:b/>
          <w:sz w:val="20"/>
          <w:szCs w:val="20"/>
        </w:rPr>
        <w:t>.</w:t>
      </w:r>
      <w:r w:rsidR="009F755C" w:rsidRPr="007C5CC9">
        <w:rPr>
          <w:sz w:val="20"/>
          <w:szCs w:val="20"/>
        </w:rPr>
        <w:t xml:space="preserve"> </w:t>
      </w:r>
      <w:r w:rsidR="00CF1D23" w:rsidRPr="00605273">
        <w:rPr>
          <w:b/>
          <w:sz w:val="20"/>
          <w:szCs w:val="20"/>
        </w:rPr>
        <w:t>Summary of mixed effects models for infiltration capacity at saturation in September.</w:t>
      </w:r>
      <w:r w:rsidR="00CF1D23">
        <w:rPr>
          <w:sz w:val="20"/>
          <w:szCs w:val="20"/>
        </w:rPr>
        <w:t xml:space="preserve"> </w:t>
      </w:r>
      <w:r w:rsidR="009F755C" w:rsidRPr="007C5CC9">
        <w:rPr>
          <w:sz w:val="20"/>
          <w:szCs w:val="20"/>
        </w:rPr>
        <w:t xml:space="preserve">Results for the infiltration rate as affected by </w:t>
      </w:r>
      <w:r w:rsidR="00CC6E9B">
        <w:rPr>
          <w:sz w:val="20"/>
          <w:szCs w:val="20"/>
        </w:rPr>
        <w:t>s</w:t>
      </w:r>
      <w:r w:rsidR="00A345C6" w:rsidRPr="007C5CC9">
        <w:rPr>
          <w:sz w:val="20"/>
          <w:szCs w:val="20"/>
        </w:rPr>
        <w:t xml:space="preserve">and </w:t>
      </w:r>
      <w:r w:rsidR="00A345C6">
        <w:rPr>
          <w:sz w:val="20"/>
          <w:szCs w:val="20"/>
        </w:rPr>
        <w:t xml:space="preserve">content </w:t>
      </w:r>
      <w:r w:rsidR="00A345C6" w:rsidRPr="007C5CC9">
        <w:rPr>
          <w:sz w:val="20"/>
          <w:szCs w:val="20"/>
        </w:rPr>
        <w:t xml:space="preserve">in </w:t>
      </w:r>
      <w:r w:rsidR="00A345C6">
        <w:rPr>
          <w:sz w:val="20"/>
          <w:szCs w:val="20"/>
        </w:rPr>
        <w:t>0-</w:t>
      </w:r>
      <w:r w:rsidR="00A345C6" w:rsidRPr="007C5CC9">
        <w:rPr>
          <w:sz w:val="20"/>
          <w:szCs w:val="20"/>
        </w:rPr>
        <w:t xml:space="preserve">10 cm depth (Sand), </w:t>
      </w:r>
      <w:r w:rsidR="00CC6E9B">
        <w:rPr>
          <w:sz w:val="20"/>
          <w:szCs w:val="20"/>
        </w:rPr>
        <w:t>p</w:t>
      </w:r>
      <w:r w:rsidR="00A345C6" w:rsidRPr="007C5CC9">
        <w:rPr>
          <w:sz w:val="20"/>
          <w:szCs w:val="20"/>
        </w:rPr>
        <w:t xml:space="preserve">lant species richness (SR), </w:t>
      </w:r>
      <w:r w:rsidR="00CC6E9B">
        <w:rPr>
          <w:sz w:val="20"/>
          <w:szCs w:val="20"/>
        </w:rPr>
        <w:t>p</w:t>
      </w:r>
      <w:r w:rsidR="00A345C6" w:rsidRPr="007C5CC9">
        <w:rPr>
          <w:sz w:val="20"/>
          <w:szCs w:val="20"/>
        </w:rPr>
        <w:t xml:space="preserve">lant functional group richness (FG), </w:t>
      </w:r>
      <w:r w:rsidR="00CC6E9B">
        <w:rPr>
          <w:sz w:val="20"/>
          <w:szCs w:val="20"/>
        </w:rPr>
        <w:t>g</w:t>
      </w:r>
      <w:r w:rsidR="00A345C6" w:rsidRPr="007C5CC9">
        <w:rPr>
          <w:sz w:val="20"/>
          <w:szCs w:val="20"/>
        </w:rPr>
        <w:t xml:space="preserve">rasses (GR), </w:t>
      </w:r>
      <w:r w:rsidR="00CC6E9B">
        <w:rPr>
          <w:sz w:val="20"/>
          <w:szCs w:val="20"/>
        </w:rPr>
        <w:t>l</w:t>
      </w:r>
      <w:r w:rsidR="00A345C6" w:rsidRPr="007C5CC9">
        <w:rPr>
          <w:sz w:val="20"/>
          <w:szCs w:val="20"/>
        </w:rPr>
        <w:t xml:space="preserve">egumes (LEG), </w:t>
      </w:r>
      <w:r w:rsidR="00CC6E9B">
        <w:rPr>
          <w:sz w:val="20"/>
          <w:szCs w:val="20"/>
        </w:rPr>
        <w:t>s</w:t>
      </w:r>
      <w:r w:rsidR="00A345C6" w:rsidRPr="007C5CC9">
        <w:rPr>
          <w:sz w:val="20"/>
          <w:szCs w:val="20"/>
        </w:rPr>
        <w:t xml:space="preserve">mall herbs (SH), </w:t>
      </w:r>
      <w:r w:rsidR="00CC6E9B">
        <w:rPr>
          <w:sz w:val="20"/>
          <w:szCs w:val="20"/>
        </w:rPr>
        <w:t>t</w:t>
      </w:r>
      <w:r w:rsidR="00A345C6" w:rsidRPr="007C5CC9">
        <w:rPr>
          <w:sz w:val="20"/>
          <w:szCs w:val="20"/>
        </w:rPr>
        <w:t>all herbs (TH),</w:t>
      </w:r>
      <w:r w:rsidR="00A345C6">
        <w:rPr>
          <w:sz w:val="20"/>
          <w:szCs w:val="20"/>
        </w:rPr>
        <w:t xml:space="preserve"> interaction Sand x LEG</w:t>
      </w:r>
      <w:r w:rsidR="00A345C6" w:rsidRPr="007C5CC9">
        <w:rPr>
          <w:sz w:val="20"/>
          <w:szCs w:val="20"/>
        </w:rPr>
        <w:t xml:space="preserve"> </w:t>
      </w:r>
      <w:r w:rsidR="00A345C6">
        <w:rPr>
          <w:sz w:val="20"/>
          <w:szCs w:val="20"/>
        </w:rPr>
        <w:t>and</w:t>
      </w:r>
      <w:r w:rsidR="00A345C6" w:rsidRPr="006C4056">
        <w:rPr>
          <w:sz w:val="20"/>
          <w:szCs w:val="20"/>
        </w:rPr>
        <w:t xml:space="preserve"> </w:t>
      </w:r>
      <w:r w:rsidR="00CC6E9B">
        <w:rPr>
          <w:sz w:val="20"/>
          <w:szCs w:val="20"/>
          <w:lang w:val="en-GB"/>
        </w:rPr>
        <w:t>e</w:t>
      </w:r>
      <w:r w:rsidR="00A345C6">
        <w:rPr>
          <w:sz w:val="20"/>
          <w:szCs w:val="20"/>
          <w:lang w:val="en-GB"/>
        </w:rPr>
        <w:t>arthworm treatment (E) as well as the interaction terms E x SR and E x FG</w:t>
      </w:r>
      <w:r w:rsidR="00A345C6" w:rsidRPr="007C5CC9">
        <w:rPr>
          <w:sz w:val="20"/>
          <w:szCs w:val="20"/>
        </w:rPr>
        <w:t>for measurements in September.</w:t>
      </w:r>
    </w:p>
    <w:tbl>
      <w:tblPr>
        <w:tblpPr w:leftFromText="141" w:rightFromText="141" w:vertAnchor="text" w:horzAnchor="page" w:tblpX="2317" w:tblpY="120"/>
        <w:tblW w:w="39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969"/>
        <w:gridCol w:w="688"/>
        <w:gridCol w:w="339"/>
      </w:tblGrid>
      <w:tr w:rsidR="00777937" w:rsidRPr="00F955C6" w:rsidTr="00777937">
        <w:trPr>
          <w:trHeight w:val="227"/>
        </w:trPr>
        <w:tc>
          <w:tcPr>
            <w:tcW w:w="1951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7937" w:rsidRPr="00F955C6" w:rsidRDefault="00777937" w:rsidP="00C1349B">
            <w:pPr>
              <w:rPr>
                <w:rFonts w:eastAsia="Arial Unicode M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77937" w:rsidRPr="00F955C6" w:rsidRDefault="00777937" w:rsidP="00C1349B">
            <w:pPr>
              <w:tabs>
                <w:tab w:val="left" w:pos="465"/>
                <w:tab w:val="center" w:pos="3313"/>
              </w:tabs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F955C6">
              <w:rPr>
                <w:b/>
                <w:color w:val="000000"/>
                <w:kern w:val="24"/>
                <w:sz w:val="22"/>
                <w:szCs w:val="22"/>
              </w:rPr>
              <w:t>September</w:t>
            </w:r>
          </w:p>
        </w:tc>
      </w:tr>
      <w:tr w:rsidR="009F755C" w:rsidRPr="00F955C6" w:rsidTr="00777937">
        <w:trPr>
          <w:trHeight w:val="227"/>
        </w:trPr>
        <w:tc>
          <w:tcPr>
            <w:tcW w:w="1951" w:type="dxa"/>
            <w:tcBorders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755C" w:rsidRPr="00F955C6" w:rsidRDefault="009F755C" w:rsidP="00C1349B">
            <w:r w:rsidRPr="00F955C6">
              <w:rPr>
                <w:rFonts w:eastAsia="Arial Unicode MS"/>
                <w:b/>
                <w:bCs/>
                <w:color w:val="000000"/>
                <w:kern w:val="24"/>
                <w:sz w:val="22"/>
                <w:szCs w:val="22"/>
              </w:rPr>
              <w:t>Source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</w:tcBorders>
          </w:tcPr>
          <w:p w:rsidR="009F755C" w:rsidRPr="00F955C6" w:rsidRDefault="009F755C" w:rsidP="00C1349B">
            <w:pPr>
              <w:tabs>
                <w:tab w:val="left" w:pos="465"/>
                <w:tab w:val="center" w:pos="3313"/>
              </w:tabs>
              <w:jc w:val="center"/>
              <w:rPr>
                <w:color w:val="000000"/>
                <w:kern w:val="24"/>
              </w:rPr>
            </w:pPr>
            <w:r w:rsidRPr="00F955C6">
              <w:rPr>
                <w:color w:val="000000"/>
                <w:kern w:val="24"/>
                <w:sz w:val="22"/>
                <w:szCs w:val="22"/>
              </w:rPr>
              <w:t>0 m</w:t>
            </w:r>
          </w:p>
        </w:tc>
      </w:tr>
      <w:tr w:rsidR="009F755C" w:rsidRPr="00F955C6" w:rsidTr="00C1349B">
        <w:trPr>
          <w:trHeight w:val="227"/>
        </w:trPr>
        <w:tc>
          <w:tcPr>
            <w:tcW w:w="195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755C" w:rsidRPr="00F955C6" w:rsidRDefault="009F755C" w:rsidP="00C1349B"/>
        </w:tc>
        <w:tc>
          <w:tcPr>
            <w:tcW w:w="9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755C" w:rsidRPr="00F955C6" w:rsidRDefault="009F755C" w:rsidP="00C1349B">
            <w:pPr>
              <w:jc w:val="center"/>
            </w:pPr>
            <w:r w:rsidRPr="00F955C6">
              <w:rPr>
                <w:color w:val="000000"/>
                <w:kern w:val="24"/>
                <w:sz w:val="22"/>
                <w:szCs w:val="22"/>
              </w:rPr>
              <w:t>L-ratio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755C" w:rsidRPr="00F955C6" w:rsidRDefault="009F755C" w:rsidP="00C1349B">
            <w:pPr>
              <w:jc w:val="center"/>
            </w:pPr>
            <w:r w:rsidRPr="00F955C6">
              <w:rPr>
                <w:color w:val="000000"/>
                <w:kern w:val="24"/>
                <w:sz w:val="22"/>
                <w:szCs w:val="22"/>
              </w:rPr>
              <w:t>p</w:t>
            </w: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755C" w:rsidRPr="00F955C6" w:rsidRDefault="009F755C" w:rsidP="00C1349B">
            <w:pPr>
              <w:jc w:val="center"/>
              <w:rPr>
                <w:color w:val="000000"/>
                <w:kern w:val="24"/>
              </w:rPr>
            </w:pPr>
          </w:p>
        </w:tc>
      </w:tr>
      <w:tr w:rsidR="009F755C" w:rsidRPr="00F955C6" w:rsidTr="00C1349B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755C" w:rsidRPr="00F955C6" w:rsidRDefault="009F755C" w:rsidP="00C1349B">
            <w:r w:rsidRPr="00F955C6">
              <w:rPr>
                <w:color w:val="000000"/>
                <w:kern w:val="24"/>
                <w:sz w:val="22"/>
                <w:szCs w:val="22"/>
              </w:rPr>
              <w:t>Sand</w:t>
            </w:r>
          </w:p>
        </w:tc>
        <w:tc>
          <w:tcPr>
            <w:tcW w:w="969" w:type="dxa"/>
          </w:tcPr>
          <w:p w:rsidR="009F755C" w:rsidRPr="00F955C6" w:rsidRDefault="009F755C" w:rsidP="00C1349B">
            <w:pPr>
              <w:jc w:val="center"/>
              <w:rPr>
                <w:b/>
              </w:rPr>
            </w:pPr>
            <w:r w:rsidRPr="00F955C6">
              <w:rPr>
                <w:b/>
                <w:color w:val="000000"/>
                <w:kern w:val="24"/>
                <w:sz w:val="22"/>
                <w:szCs w:val="22"/>
              </w:rPr>
              <w:t>8.41</w:t>
            </w:r>
          </w:p>
        </w:tc>
        <w:tc>
          <w:tcPr>
            <w:tcW w:w="688" w:type="dxa"/>
          </w:tcPr>
          <w:p w:rsidR="009F755C" w:rsidRPr="00F955C6" w:rsidRDefault="009F755C" w:rsidP="00C1349B">
            <w:pPr>
              <w:jc w:val="center"/>
              <w:rPr>
                <w:b/>
              </w:rPr>
            </w:pPr>
            <w:r w:rsidRPr="00F955C6">
              <w:rPr>
                <w:b/>
                <w:color w:val="000000"/>
                <w:kern w:val="24"/>
                <w:sz w:val="22"/>
                <w:szCs w:val="22"/>
              </w:rPr>
              <w:t>0.004</w:t>
            </w:r>
          </w:p>
        </w:tc>
        <w:tc>
          <w:tcPr>
            <w:tcW w:w="339" w:type="dxa"/>
          </w:tcPr>
          <w:p w:rsidR="009F755C" w:rsidRPr="00F955C6" w:rsidRDefault="009F755C" w:rsidP="00C1349B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  <w:r w:rsidRPr="00F955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↓</w:t>
            </w:r>
          </w:p>
        </w:tc>
      </w:tr>
      <w:tr w:rsidR="009F755C" w:rsidRPr="00F955C6" w:rsidTr="00C1349B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755C" w:rsidRPr="00F955C6" w:rsidRDefault="009F755C" w:rsidP="00C1349B">
            <w:r w:rsidRPr="00F955C6">
              <w:rPr>
                <w:color w:val="000000"/>
                <w:kern w:val="24"/>
                <w:sz w:val="22"/>
                <w:szCs w:val="22"/>
              </w:rPr>
              <w:t>SR (log-linear)</w:t>
            </w:r>
          </w:p>
        </w:tc>
        <w:tc>
          <w:tcPr>
            <w:tcW w:w="969" w:type="dxa"/>
          </w:tcPr>
          <w:p w:rsidR="009F755C" w:rsidRPr="00F955C6" w:rsidRDefault="009F755C" w:rsidP="00C1349B">
            <w:pPr>
              <w:jc w:val="center"/>
            </w:pPr>
            <w:r w:rsidRPr="00F955C6">
              <w:rPr>
                <w:color w:val="000000"/>
                <w:kern w:val="24"/>
                <w:sz w:val="22"/>
                <w:szCs w:val="22"/>
              </w:rPr>
              <w:t>&lt;0.01</w:t>
            </w:r>
          </w:p>
        </w:tc>
        <w:tc>
          <w:tcPr>
            <w:tcW w:w="688" w:type="dxa"/>
          </w:tcPr>
          <w:p w:rsidR="009F755C" w:rsidRPr="00F955C6" w:rsidRDefault="009F755C" w:rsidP="00C1349B">
            <w:pPr>
              <w:jc w:val="center"/>
            </w:pPr>
            <w:r w:rsidRPr="00F955C6">
              <w:rPr>
                <w:color w:val="000000"/>
                <w:kern w:val="24"/>
                <w:sz w:val="22"/>
                <w:szCs w:val="22"/>
              </w:rPr>
              <w:t>0.969</w:t>
            </w:r>
          </w:p>
        </w:tc>
        <w:tc>
          <w:tcPr>
            <w:tcW w:w="339" w:type="dxa"/>
          </w:tcPr>
          <w:p w:rsidR="009F755C" w:rsidRPr="00F955C6" w:rsidRDefault="009F755C" w:rsidP="00C1349B">
            <w:pPr>
              <w:jc w:val="center"/>
              <w:rPr>
                <w:color w:val="000000"/>
                <w:kern w:val="24"/>
              </w:rPr>
            </w:pPr>
          </w:p>
        </w:tc>
      </w:tr>
      <w:tr w:rsidR="009F755C" w:rsidRPr="00F955C6" w:rsidTr="00C1349B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755C" w:rsidRPr="00F955C6" w:rsidRDefault="009F755C" w:rsidP="00C1349B">
            <w:r w:rsidRPr="00F955C6">
              <w:rPr>
                <w:rFonts w:eastAsia="Arial Unicode MS"/>
                <w:color w:val="000000"/>
                <w:kern w:val="24"/>
                <w:sz w:val="22"/>
                <w:szCs w:val="22"/>
              </w:rPr>
              <w:t>FG (linear)</w:t>
            </w:r>
          </w:p>
        </w:tc>
        <w:tc>
          <w:tcPr>
            <w:tcW w:w="969" w:type="dxa"/>
          </w:tcPr>
          <w:p w:rsidR="009F755C" w:rsidRPr="00F955C6" w:rsidRDefault="009F755C" w:rsidP="00C1349B">
            <w:pPr>
              <w:jc w:val="center"/>
            </w:pPr>
            <w:r w:rsidRPr="00F955C6">
              <w:rPr>
                <w:color w:val="000000"/>
                <w:kern w:val="24"/>
                <w:sz w:val="22"/>
                <w:szCs w:val="22"/>
              </w:rPr>
              <w:t>0.10</w:t>
            </w:r>
          </w:p>
        </w:tc>
        <w:tc>
          <w:tcPr>
            <w:tcW w:w="688" w:type="dxa"/>
          </w:tcPr>
          <w:p w:rsidR="009F755C" w:rsidRPr="00F955C6" w:rsidRDefault="009F755C" w:rsidP="00C1349B">
            <w:pPr>
              <w:jc w:val="center"/>
            </w:pPr>
            <w:r w:rsidRPr="00F955C6">
              <w:rPr>
                <w:color w:val="000000"/>
                <w:kern w:val="24"/>
                <w:sz w:val="22"/>
                <w:szCs w:val="22"/>
              </w:rPr>
              <w:t>0.750</w:t>
            </w:r>
          </w:p>
        </w:tc>
        <w:tc>
          <w:tcPr>
            <w:tcW w:w="339" w:type="dxa"/>
          </w:tcPr>
          <w:p w:rsidR="009F755C" w:rsidRPr="00F955C6" w:rsidRDefault="009F755C" w:rsidP="00C1349B">
            <w:pPr>
              <w:jc w:val="center"/>
              <w:rPr>
                <w:color w:val="000000"/>
                <w:kern w:val="24"/>
              </w:rPr>
            </w:pPr>
          </w:p>
        </w:tc>
      </w:tr>
      <w:tr w:rsidR="009F755C" w:rsidRPr="00F955C6" w:rsidTr="00C1349B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755C" w:rsidRPr="00F955C6" w:rsidRDefault="009F755C" w:rsidP="00C1349B">
            <w:r w:rsidRPr="00F955C6">
              <w:rPr>
                <w:rFonts w:eastAsia="Arial Unicode MS"/>
                <w:color w:val="000000"/>
                <w:kern w:val="24"/>
                <w:sz w:val="22"/>
                <w:szCs w:val="22"/>
              </w:rPr>
              <w:t xml:space="preserve">     GR</w:t>
            </w:r>
          </w:p>
        </w:tc>
        <w:tc>
          <w:tcPr>
            <w:tcW w:w="969" w:type="dxa"/>
          </w:tcPr>
          <w:p w:rsidR="009F755C" w:rsidRPr="00F955C6" w:rsidRDefault="009F755C" w:rsidP="00C1349B">
            <w:pPr>
              <w:jc w:val="center"/>
            </w:pPr>
            <w:r w:rsidRPr="00F955C6">
              <w:rPr>
                <w:color w:val="000000"/>
                <w:kern w:val="24"/>
                <w:sz w:val="22"/>
                <w:szCs w:val="22"/>
              </w:rPr>
              <w:t>2.73</w:t>
            </w:r>
          </w:p>
        </w:tc>
        <w:tc>
          <w:tcPr>
            <w:tcW w:w="688" w:type="dxa"/>
          </w:tcPr>
          <w:p w:rsidR="009F755C" w:rsidRPr="00F955C6" w:rsidRDefault="009F755C" w:rsidP="00C1349B">
            <w:pPr>
              <w:jc w:val="center"/>
            </w:pPr>
            <w:r w:rsidRPr="00F955C6">
              <w:rPr>
                <w:color w:val="000000"/>
                <w:kern w:val="24"/>
                <w:sz w:val="22"/>
                <w:szCs w:val="22"/>
              </w:rPr>
              <w:t>0.</w:t>
            </w:r>
            <w:r w:rsidR="007D28CF">
              <w:rPr>
                <w:color w:val="000000"/>
                <w:kern w:val="24"/>
                <w:sz w:val="22"/>
                <w:szCs w:val="22"/>
              </w:rPr>
              <w:t>294</w:t>
            </w:r>
          </w:p>
        </w:tc>
        <w:tc>
          <w:tcPr>
            <w:tcW w:w="339" w:type="dxa"/>
          </w:tcPr>
          <w:p w:rsidR="009F755C" w:rsidRPr="00F955C6" w:rsidRDefault="009F755C" w:rsidP="00C1349B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9F755C" w:rsidRPr="00F955C6" w:rsidTr="00C1349B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755C" w:rsidRPr="00F955C6" w:rsidRDefault="009F755C" w:rsidP="00C1349B">
            <w:r w:rsidRPr="00F955C6">
              <w:rPr>
                <w:color w:val="000000"/>
                <w:kern w:val="24"/>
                <w:sz w:val="22"/>
                <w:szCs w:val="22"/>
              </w:rPr>
              <w:t xml:space="preserve">     LEG</w:t>
            </w:r>
          </w:p>
        </w:tc>
        <w:tc>
          <w:tcPr>
            <w:tcW w:w="969" w:type="dxa"/>
          </w:tcPr>
          <w:p w:rsidR="009F755C" w:rsidRPr="00F955C6" w:rsidRDefault="009F755C" w:rsidP="00C1349B">
            <w:pPr>
              <w:jc w:val="center"/>
              <w:rPr>
                <w:b/>
              </w:rPr>
            </w:pPr>
            <w:r w:rsidRPr="00F955C6">
              <w:rPr>
                <w:b/>
                <w:color w:val="000000"/>
                <w:kern w:val="24"/>
                <w:sz w:val="22"/>
                <w:szCs w:val="22"/>
              </w:rPr>
              <w:t>6.96</w:t>
            </w:r>
          </w:p>
        </w:tc>
        <w:tc>
          <w:tcPr>
            <w:tcW w:w="688" w:type="dxa"/>
          </w:tcPr>
          <w:p w:rsidR="009F755C" w:rsidRPr="00F955C6" w:rsidRDefault="009F755C" w:rsidP="00C1349B">
            <w:pPr>
              <w:jc w:val="center"/>
              <w:rPr>
                <w:b/>
              </w:rPr>
            </w:pPr>
            <w:r w:rsidRPr="00F955C6">
              <w:rPr>
                <w:b/>
                <w:color w:val="000000"/>
                <w:kern w:val="24"/>
                <w:sz w:val="22"/>
                <w:szCs w:val="22"/>
              </w:rPr>
              <w:t>0.0</w:t>
            </w:r>
            <w:r w:rsidR="007D28CF">
              <w:rPr>
                <w:b/>
                <w:color w:val="000000"/>
                <w:kern w:val="24"/>
                <w:sz w:val="22"/>
                <w:szCs w:val="22"/>
              </w:rPr>
              <w:t>33</w:t>
            </w:r>
          </w:p>
        </w:tc>
        <w:tc>
          <w:tcPr>
            <w:tcW w:w="339" w:type="dxa"/>
          </w:tcPr>
          <w:p w:rsidR="009F755C" w:rsidRPr="00F955C6" w:rsidRDefault="009F755C" w:rsidP="00C1349B">
            <w:pPr>
              <w:jc w:val="center"/>
              <w:rPr>
                <w:b/>
                <w:color w:val="000000"/>
                <w:kern w:val="24"/>
              </w:rPr>
            </w:pPr>
            <w:r w:rsidRPr="00F955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↑</w:t>
            </w:r>
          </w:p>
        </w:tc>
      </w:tr>
      <w:tr w:rsidR="009F755C" w:rsidRPr="00F955C6" w:rsidTr="00C1349B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755C" w:rsidRPr="00F955C6" w:rsidRDefault="009F755C" w:rsidP="00C1349B">
            <w:pPr>
              <w:rPr>
                <w:color w:val="000000"/>
                <w:kern w:val="24"/>
              </w:rPr>
            </w:pPr>
            <w:r w:rsidRPr="00F955C6">
              <w:rPr>
                <w:color w:val="000000"/>
                <w:kern w:val="24"/>
                <w:sz w:val="22"/>
                <w:szCs w:val="22"/>
              </w:rPr>
              <w:t xml:space="preserve">     SH</w:t>
            </w:r>
          </w:p>
        </w:tc>
        <w:tc>
          <w:tcPr>
            <w:tcW w:w="969" w:type="dxa"/>
          </w:tcPr>
          <w:p w:rsidR="009F755C" w:rsidRPr="00F955C6" w:rsidRDefault="009F755C" w:rsidP="00C1349B">
            <w:pPr>
              <w:jc w:val="center"/>
              <w:rPr>
                <w:color w:val="000000"/>
                <w:kern w:val="24"/>
              </w:rPr>
            </w:pPr>
            <w:r w:rsidRPr="00F955C6">
              <w:rPr>
                <w:color w:val="000000"/>
                <w:kern w:val="24"/>
                <w:sz w:val="22"/>
                <w:szCs w:val="22"/>
              </w:rPr>
              <w:t>1.34</w:t>
            </w:r>
          </w:p>
        </w:tc>
        <w:tc>
          <w:tcPr>
            <w:tcW w:w="688" w:type="dxa"/>
          </w:tcPr>
          <w:p w:rsidR="009F755C" w:rsidRPr="00F955C6" w:rsidRDefault="009F755C" w:rsidP="00C1349B">
            <w:pPr>
              <w:jc w:val="center"/>
              <w:rPr>
                <w:color w:val="000000"/>
                <w:kern w:val="24"/>
              </w:rPr>
            </w:pPr>
            <w:r w:rsidRPr="00F955C6">
              <w:rPr>
                <w:color w:val="000000"/>
                <w:kern w:val="24"/>
                <w:sz w:val="22"/>
                <w:szCs w:val="22"/>
              </w:rPr>
              <w:t>0.</w:t>
            </w:r>
            <w:r w:rsidR="007D28CF">
              <w:rPr>
                <w:color w:val="000000"/>
                <w:kern w:val="24"/>
                <w:sz w:val="22"/>
                <w:szCs w:val="22"/>
              </w:rPr>
              <w:t>494</w:t>
            </w:r>
          </w:p>
        </w:tc>
        <w:tc>
          <w:tcPr>
            <w:tcW w:w="339" w:type="dxa"/>
          </w:tcPr>
          <w:p w:rsidR="009F755C" w:rsidRPr="00F955C6" w:rsidRDefault="009F755C" w:rsidP="00C1349B">
            <w:pPr>
              <w:jc w:val="center"/>
              <w:rPr>
                <w:color w:val="000000"/>
                <w:kern w:val="24"/>
              </w:rPr>
            </w:pPr>
          </w:p>
        </w:tc>
      </w:tr>
      <w:tr w:rsidR="009F755C" w:rsidRPr="00F955C6" w:rsidTr="00C1349B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755C" w:rsidRPr="00F955C6" w:rsidRDefault="009F755C" w:rsidP="00C1349B">
            <w:pPr>
              <w:rPr>
                <w:color w:val="000000"/>
                <w:kern w:val="24"/>
              </w:rPr>
            </w:pPr>
            <w:r w:rsidRPr="00F955C6">
              <w:rPr>
                <w:color w:val="000000"/>
                <w:kern w:val="24"/>
                <w:sz w:val="22"/>
                <w:szCs w:val="22"/>
              </w:rPr>
              <w:t xml:space="preserve">     TH</w:t>
            </w:r>
          </w:p>
        </w:tc>
        <w:tc>
          <w:tcPr>
            <w:tcW w:w="969" w:type="dxa"/>
          </w:tcPr>
          <w:p w:rsidR="009F755C" w:rsidRPr="00F955C6" w:rsidRDefault="009F755C" w:rsidP="00C1349B">
            <w:pPr>
              <w:jc w:val="center"/>
              <w:rPr>
                <w:color w:val="000000"/>
                <w:kern w:val="24"/>
              </w:rPr>
            </w:pPr>
            <w:r w:rsidRPr="00F955C6">
              <w:rPr>
                <w:color w:val="000000"/>
                <w:kern w:val="24"/>
                <w:sz w:val="22"/>
                <w:szCs w:val="22"/>
              </w:rPr>
              <w:t>0.06</w:t>
            </w:r>
          </w:p>
        </w:tc>
        <w:tc>
          <w:tcPr>
            <w:tcW w:w="688" w:type="dxa"/>
          </w:tcPr>
          <w:p w:rsidR="009F755C" w:rsidRPr="00F955C6" w:rsidRDefault="009F755C" w:rsidP="00C1349B">
            <w:pPr>
              <w:jc w:val="center"/>
              <w:rPr>
                <w:color w:val="000000"/>
                <w:kern w:val="24"/>
              </w:rPr>
            </w:pPr>
            <w:r w:rsidRPr="00F955C6">
              <w:rPr>
                <w:color w:val="000000"/>
                <w:kern w:val="24"/>
                <w:sz w:val="22"/>
                <w:szCs w:val="22"/>
              </w:rPr>
              <w:t>0.802</w:t>
            </w:r>
          </w:p>
        </w:tc>
        <w:tc>
          <w:tcPr>
            <w:tcW w:w="339" w:type="dxa"/>
          </w:tcPr>
          <w:p w:rsidR="009F755C" w:rsidRPr="00F955C6" w:rsidRDefault="009F755C" w:rsidP="00C1349B">
            <w:pPr>
              <w:jc w:val="center"/>
              <w:rPr>
                <w:color w:val="000000"/>
                <w:kern w:val="24"/>
              </w:rPr>
            </w:pPr>
          </w:p>
        </w:tc>
      </w:tr>
      <w:tr w:rsidR="009F755C" w:rsidRPr="00F955C6" w:rsidTr="00C1349B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755C" w:rsidRPr="00F955C6" w:rsidRDefault="009F755C" w:rsidP="00C1349B">
            <w:pPr>
              <w:rPr>
                <w:color w:val="000000"/>
                <w:kern w:val="24"/>
              </w:rPr>
            </w:pPr>
            <w:r w:rsidRPr="00F955C6">
              <w:rPr>
                <w:color w:val="000000"/>
                <w:kern w:val="24"/>
                <w:sz w:val="22"/>
                <w:szCs w:val="22"/>
              </w:rPr>
              <w:t xml:space="preserve">     </w:t>
            </w:r>
            <w:proofErr w:type="spellStart"/>
            <w:r w:rsidRPr="00F955C6">
              <w:rPr>
                <w:color w:val="000000"/>
                <w:kern w:val="24"/>
                <w:sz w:val="22"/>
                <w:szCs w:val="22"/>
              </w:rPr>
              <w:t>Sand×LEG</w:t>
            </w:r>
            <w:proofErr w:type="spellEnd"/>
          </w:p>
        </w:tc>
        <w:tc>
          <w:tcPr>
            <w:tcW w:w="969" w:type="dxa"/>
          </w:tcPr>
          <w:p w:rsidR="009F755C" w:rsidRPr="00F955C6" w:rsidRDefault="009F755C" w:rsidP="00C1349B">
            <w:pPr>
              <w:jc w:val="center"/>
              <w:rPr>
                <w:b/>
                <w:color w:val="000000"/>
                <w:kern w:val="24"/>
              </w:rPr>
            </w:pPr>
            <w:r w:rsidRPr="00F955C6">
              <w:rPr>
                <w:b/>
                <w:color w:val="000000"/>
                <w:kern w:val="24"/>
                <w:sz w:val="22"/>
                <w:szCs w:val="22"/>
              </w:rPr>
              <w:t>12.67</w:t>
            </w:r>
          </w:p>
        </w:tc>
        <w:tc>
          <w:tcPr>
            <w:tcW w:w="688" w:type="dxa"/>
          </w:tcPr>
          <w:p w:rsidR="009F755C" w:rsidRPr="00F955C6" w:rsidRDefault="009F755C" w:rsidP="00C1349B">
            <w:pPr>
              <w:jc w:val="center"/>
              <w:rPr>
                <w:b/>
                <w:color w:val="000000"/>
                <w:kern w:val="24"/>
              </w:rPr>
            </w:pPr>
            <w:r w:rsidRPr="00F955C6">
              <w:rPr>
                <w:b/>
                <w:color w:val="000000"/>
                <w:kern w:val="24"/>
                <w:sz w:val="22"/>
                <w:szCs w:val="22"/>
              </w:rPr>
              <w:t>0.002</w:t>
            </w:r>
          </w:p>
        </w:tc>
        <w:tc>
          <w:tcPr>
            <w:tcW w:w="339" w:type="dxa"/>
          </w:tcPr>
          <w:p w:rsidR="009F755C" w:rsidRPr="00F955C6" w:rsidRDefault="009F755C" w:rsidP="00C1349B">
            <w:pPr>
              <w:jc w:val="center"/>
              <w:rPr>
                <w:color w:val="000000"/>
                <w:kern w:val="24"/>
              </w:rPr>
            </w:pPr>
          </w:p>
        </w:tc>
      </w:tr>
      <w:tr w:rsidR="009F755C" w:rsidRPr="00F955C6" w:rsidTr="00C1349B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755C" w:rsidRPr="00F955C6" w:rsidRDefault="009F755C" w:rsidP="00C1349B">
            <w:r w:rsidRPr="00F955C6">
              <w:rPr>
                <w:color w:val="000000"/>
                <w:kern w:val="24"/>
                <w:sz w:val="22"/>
                <w:szCs w:val="22"/>
              </w:rPr>
              <w:t>E</w:t>
            </w:r>
          </w:p>
        </w:tc>
        <w:tc>
          <w:tcPr>
            <w:tcW w:w="969" w:type="dxa"/>
          </w:tcPr>
          <w:p w:rsidR="009F755C" w:rsidRPr="00F955C6" w:rsidRDefault="009F755C" w:rsidP="00C1349B">
            <w:pPr>
              <w:jc w:val="center"/>
            </w:pPr>
            <w:r w:rsidRPr="00F955C6">
              <w:rPr>
                <w:color w:val="000000"/>
                <w:kern w:val="24"/>
                <w:sz w:val="22"/>
                <w:szCs w:val="22"/>
              </w:rPr>
              <w:t>0.24</w:t>
            </w:r>
          </w:p>
        </w:tc>
        <w:tc>
          <w:tcPr>
            <w:tcW w:w="688" w:type="dxa"/>
          </w:tcPr>
          <w:p w:rsidR="009F755C" w:rsidRPr="00F955C6" w:rsidRDefault="009F755C" w:rsidP="00C1349B">
            <w:pPr>
              <w:jc w:val="center"/>
            </w:pPr>
            <w:r w:rsidRPr="00F955C6">
              <w:rPr>
                <w:color w:val="000000"/>
                <w:kern w:val="24"/>
                <w:sz w:val="22"/>
                <w:szCs w:val="22"/>
              </w:rPr>
              <w:t>0.628</w:t>
            </w:r>
          </w:p>
        </w:tc>
        <w:tc>
          <w:tcPr>
            <w:tcW w:w="339" w:type="dxa"/>
          </w:tcPr>
          <w:p w:rsidR="009F755C" w:rsidRPr="00F955C6" w:rsidRDefault="009F755C" w:rsidP="00C1349B">
            <w:pPr>
              <w:jc w:val="center"/>
              <w:rPr>
                <w:color w:val="000000"/>
                <w:kern w:val="24"/>
              </w:rPr>
            </w:pPr>
          </w:p>
        </w:tc>
      </w:tr>
      <w:tr w:rsidR="009F755C" w:rsidRPr="00F955C6" w:rsidTr="00777937">
        <w:trPr>
          <w:trHeight w:val="227"/>
        </w:trPr>
        <w:tc>
          <w:tcPr>
            <w:tcW w:w="1951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755C" w:rsidRPr="00F955C6" w:rsidRDefault="009F755C" w:rsidP="00C1349B">
            <w:r w:rsidRPr="00F955C6">
              <w:rPr>
                <w:color w:val="000000"/>
                <w:kern w:val="24"/>
                <w:sz w:val="22"/>
                <w:szCs w:val="22"/>
              </w:rPr>
              <w:t>E×SR(log-linear)</w:t>
            </w:r>
          </w:p>
        </w:tc>
        <w:tc>
          <w:tcPr>
            <w:tcW w:w="969" w:type="dxa"/>
          </w:tcPr>
          <w:p w:rsidR="009F755C" w:rsidRPr="00F955C6" w:rsidRDefault="009F755C" w:rsidP="00C1349B">
            <w:pPr>
              <w:jc w:val="center"/>
            </w:pPr>
            <w:r w:rsidRPr="00F955C6">
              <w:rPr>
                <w:color w:val="000000"/>
                <w:kern w:val="24"/>
                <w:sz w:val="22"/>
                <w:szCs w:val="22"/>
              </w:rPr>
              <w:t>0.21</w:t>
            </w:r>
          </w:p>
        </w:tc>
        <w:tc>
          <w:tcPr>
            <w:tcW w:w="688" w:type="dxa"/>
          </w:tcPr>
          <w:p w:rsidR="009F755C" w:rsidRPr="00F955C6" w:rsidRDefault="009F755C" w:rsidP="00C1349B">
            <w:pPr>
              <w:jc w:val="center"/>
            </w:pPr>
            <w:r w:rsidRPr="00F955C6">
              <w:rPr>
                <w:color w:val="000000"/>
                <w:kern w:val="24"/>
                <w:sz w:val="22"/>
                <w:szCs w:val="22"/>
              </w:rPr>
              <w:t>0.646</w:t>
            </w:r>
          </w:p>
        </w:tc>
        <w:tc>
          <w:tcPr>
            <w:tcW w:w="339" w:type="dxa"/>
          </w:tcPr>
          <w:p w:rsidR="009F755C" w:rsidRPr="00F955C6" w:rsidRDefault="009F755C" w:rsidP="00C1349B">
            <w:pPr>
              <w:jc w:val="center"/>
              <w:rPr>
                <w:color w:val="000000"/>
                <w:kern w:val="24"/>
              </w:rPr>
            </w:pPr>
          </w:p>
        </w:tc>
      </w:tr>
      <w:tr w:rsidR="009F755C" w:rsidRPr="00F955C6" w:rsidTr="00777937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755C" w:rsidRPr="00F955C6" w:rsidRDefault="009F755C" w:rsidP="00C1349B">
            <w:r w:rsidRPr="00F955C6">
              <w:rPr>
                <w:color w:val="000000"/>
                <w:kern w:val="24"/>
                <w:sz w:val="22"/>
                <w:szCs w:val="22"/>
              </w:rPr>
              <w:t>E×FG (linear)</w:t>
            </w:r>
          </w:p>
        </w:tc>
        <w:tc>
          <w:tcPr>
            <w:tcW w:w="969" w:type="dxa"/>
            <w:tcBorders>
              <w:bottom w:val="single" w:sz="12" w:space="0" w:color="auto"/>
            </w:tcBorders>
          </w:tcPr>
          <w:p w:rsidR="009F755C" w:rsidRPr="00F955C6" w:rsidRDefault="009F755C" w:rsidP="00C1349B">
            <w:pPr>
              <w:jc w:val="center"/>
            </w:pPr>
            <w:r w:rsidRPr="00F955C6">
              <w:rPr>
                <w:color w:val="000000"/>
                <w:kern w:val="24"/>
                <w:sz w:val="22"/>
                <w:szCs w:val="22"/>
              </w:rPr>
              <w:t>0.25</w:t>
            </w: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9F755C" w:rsidRPr="00F955C6" w:rsidRDefault="009F755C" w:rsidP="00C1349B">
            <w:pPr>
              <w:jc w:val="center"/>
            </w:pPr>
            <w:r w:rsidRPr="00F955C6">
              <w:rPr>
                <w:color w:val="000000"/>
                <w:kern w:val="24"/>
                <w:sz w:val="22"/>
                <w:szCs w:val="22"/>
              </w:rPr>
              <w:t>0.615</w:t>
            </w: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9F755C" w:rsidRPr="00F955C6" w:rsidRDefault="009F755C" w:rsidP="00C1349B">
            <w:pPr>
              <w:jc w:val="center"/>
              <w:rPr>
                <w:color w:val="000000"/>
                <w:kern w:val="24"/>
              </w:rPr>
            </w:pPr>
          </w:p>
        </w:tc>
      </w:tr>
    </w:tbl>
    <w:p w:rsidR="009F755C" w:rsidRPr="00F955C6" w:rsidRDefault="009F755C" w:rsidP="009F755C"/>
    <w:p w:rsidR="009F755C" w:rsidRPr="00F955C6" w:rsidRDefault="009F755C" w:rsidP="009F755C"/>
    <w:p w:rsidR="009F755C" w:rsidRPr="00F955C6" w:rsidRDefault="009F755C" w:rsidP="009F755C"/>
    <w:p w:rsidR="009F755C" w:rsidRPr="00F955C6" w:rsidRDefault="009F755C" w:rsidP="009F755C"/>
    <w:p w:rsidR="009F755C" w:rsidRPr="00F955C6" w:rsidRDefault="009F755C" w:rsidP="009F755C"/>
    <w:p w:rsidR="009F755C" w:rsidRPr="00F955C6" w:rsidRDefault="009F755C" w:rsidP="009F755C"/>
    <w:p w:rsidR="009F755C" w:rsidRPr="00F955C6" w:rsidRDefault="009F755C" w:rsidP="009F755C"/>
    <w:p w:rsidR="009F755C" w:rsidRPr="00F955C6" w:rsidRDefault="009F755C" w:rsidP="009F755C"/>
    <w:p w:rsidR="009F755C" w:rsidRPr="00F955C6" w:rsidRDefault="009F755C" w:rsidP="009F755C"/>
    <w:p w:rsidR="009F755C" w:rsidRPr="00F955C6" w:rsidRDefault="009F755C" w:rsidP="009F755C"/>
    <w:p w:rsidR="009F755C" w:rsidRPr="00F955C6" w:rsidRDefault="009F755C" w:rsidP="009F755C"/>
    <w:p w:rsidR="009F755C" w:rsidRPr="00F955C6" w:rsidRDefault="009F755C" w:rsidP="009F755C"/>
    <w:p w:rsidR="009F755C" w:rsidRPr="00F955C6" w:rsidRDefault="009F755C" w:rsidP="009F755C"/>
    <w:p w:rsidR="009F755C" w:rsidRPr="00F955C6" w:rsidRDefault="009F755C" w:rsidP="009F755C"/>
    <w:p w:rsidR="009F755C" w:rsidRPr="00F955C6" w:rsidRDefault="009F755C" w:rsidP="009F755C"/>
    <w:p w:rsidR="007D28CF" w:rsidRPr="00F955C6" w:rsidRDefault="007D28CF" w:rsidP="009F755C"/>
    <w:p w:rsidR="00EC17B6" w:rsidRDefault="009F755C" w:rsidP="0089568E">
      <w:pPr>
        <w:autoSpaceDE w:val="0"/>
        <w:autoSpaceDN w:val="0"/>
        <w:adjustRightInd w:val="0"/>
        <w:spacing w:line="480" w:lineRule="auto"/>
        <w:jc w:val="both"/>
      </w:pPr>
      <w:r w:rsidRPr="00F955C6">
        <w:rPr>
          <w:vertAlign w:val="subscript"/>
        </w:rPr>
        <w:t xml:space="preserve">Models were fitted by stepwise inclusion of fixed effects. Likelihood ratio tests were applied to assess model improvement (L ratio) and the statistical significance of the explanatory terms (p values). </w:t>
      </w:r>
      <w:r w:rsidR="00296B9B">
        <w:rPr>
          <w:vertAlign w:val="subscript"/>
        </w:rPr>
        <w:t xml:space="preserve">For GR, LEG, SH and TH the adjusted p-values according to the Holm procedure are given in the table. </w:t>
      </w:r>
      <w:r w:rsidRPr="00F955C6">
        <w:rPr>
          <w:vertAlign w:val="subscript"/>
        </w:rPr>
        <w:t>Significant effects are marked in bold. Arrows indicate increase (↑) or decrease (↓).</w:t>
      </w:r>
      <w:bookmarkEnd w:id="0"/>
    </w:p>
    <w:sectPr w:rsidR="00EC17B6" w:rsidSect="005B5326">
      <w:headerReference w:type="default" r:id="rId7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C2" w:rsidRDefault="006178C2" w:rsidP="009F755C">
      <w:r>
        <w:separator/>
      </w:r>
    </w:p>
  </w:endnote>
  <w:endnote w:type="continuationSeparator" w:id="0">
    <w:p w:rsidR="006178C2" w:rsidRDefault="006178C2" w:rsidP="009F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C2" w:rsidRDefault="006178C2" w:rsidP="009F755C">
      <w:r>
        <w:separator/>
      </w:r>
    </w:p>
  </w:footnote>
  <w:footnote w:type="continuationSeparator" w:id="0">
    <w:p w:rsidR="006178C2" w:rsidRDefault="006178C2" w:rsidP="009F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5C" w:rsidRDefault="009F755C" w:rsidP="009F755C">
    <w:pPr>
      <w:pStyle w:val="Header"/>
      <w:ind w:right="360"/>
      <w:rPr>
        <w:lang w:val="fr-FR"/>
      </w:rPr>
    </w:pPr>
    <w:r>
      <w:rPr>
        <w:lang w:val="fr-FR"/>
      </w:rPr>
      <w:t>Fischer et al.</w:t>
    </w:r>
  </w:p>
  <w:p w:rsidR="009F755C" w:rsidRDefault="009F7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5C"/>
    <w:rsid w:val="00120886"/>
    <w:rsid w:val="001615ED"/>
    <w:rsid w:val="001A6CE2"/>
    <w:rsid w:val="00296B9B"/>
    <w:rsid w:val="003068B2"/>
    <w:rsid w:val="00340C63"/>
    <w:rsid w:val="003D6061"/>
    <w:rsid w:val="003E383D"/>
    <w:rsid w:val="00420E41"/>
    <w:rsid w:val="004574E5"/>
    <w:rsid w:val="004B42AB"/>
    <w:rsid w:val="005B0D67"/>
    <w:rsid w:val="005B5326"/>
    <w:rsid w:val="005F3FB6"/>
    <w:rsid w:val="00605273"/>
    <w:rsid w:val="006178C2"/>
    <w:rsid w:val="006255E5"/>
    <w:rsid w:val="00686698"/>
    <w:rsid w:val="00737B45"/>
    <w:rsid w:val="00777937"/>
    <w:rsid w:val="00783FD6"/>
    <w:rsid w:val="007D28CF"/>
    <w:rsid w:val="007F4AB3"/>
    <w:rsid w:val="008725BD"/>
    <w:rsid w:val="0089568E"/>
    <w:rsid w:val="009F2260"/>
    <w:rsid w:val="009F755C"/>
    <w:rsid w:val="00A345C6"/>
    <w:rsid w:val="00A63DA6"/>
    <w:rsid w:val="00AF4C20"/>
    <w:rsid w:val="00CC6E9B"/>
    <w:rsid w:val="00CF1D23"/>
    <w:rsid w:val="00D7530E"/>
    <w:rsid w:val="00E41F17"/>
    <w:rsid w:val="00E64E3F"/>
    <w:rsid w:val="00E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55C"/>
    <w:pPr>
      <w:keepNext/>
      <w:spacing w:line="480" w:lineRule="auto"/>
      <w:outlineLvl w:val="0"/>
    </w:pPr>
    <w:rPr>
      <w:rFonts w:ascii="Arial" w:hAnsi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755C"/>
    <w:rPr>
      <w:rFonts w:ascii="Arial" w:eastAsia="Times New Roman" w:hAnsi="Arial" w:cs="Times New Roman"/>
      <w:b/>
      <w:bCs/>
      <w:sz w:val="24"/>
      <w:szCs w:val="24"/>
      <w:lang w:val="en-GB" w:eastAsia="de-DE"/>
    </w:rPr>
  </w:style>
  <w:style w:type="paragraph" w:styleId="BodyTextIndent">
    <w:name w:val="Body Text Indent"/>
    <w:basedOn w:val="Normal"/>
    <w:link w:val="BodyTextIndentChar"/>
    <w:uiPriority w:val="99"/>
    <w:rsid w:val="009F755C"/>
    <w:pPr>
      <w:autoSpaceDE w:val="0"/>
      <w:autoSpaceDN w:val="0"/>
      <w:adjustRightInd w:val="0"/>
      <w:spacing w:line="480" w:lineRule="auto"/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F755C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styleId="LineNumber">
    <w:name w:val="line number"/>
    <w:basedOn w:val="DefaultParagraphFont"/>
    <w:uiPriority w:val="99"/>
    <w:semiHidden/>
    <w:unhideWhenUsed/>
    <w:rsid w:val="009F755C"/>
  </w:style>
  <w:style w:type="paragraph" w:styleId="Header">
    <w:name w:val="header"/>
    <w:basedOn w:val="Normal"/>
    <w:link w:val="HeaderChar"/>
    <w:unhideWhenUsed/>
    <w:rsid w:val="009F75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755C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9F75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55C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styleId="PageNumber">
    <w:name w:val="page number"/>
    <w:basedOn w:val="DefaultParagraphFont"/>
    <w:uiPriority w:val="99"/>
    <w:rsid w:val="009F75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23"/>
    <w:rPr>
      <w:rFonts w:ascii="Tahoma" w:eastAsia="Times New Roman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55C"/>
    <w:pPr>
      <w:keepNext/>
      <w:spacing w:line="480" w:lineRule="auto"/>
      <w:outlineLvl w:val="0"/>
    </w:pPr>
    <w:rPr>
      <w:rFonts w:ascii="Arial" w:hAnsi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755C"/>
    <w:rPr>
      <w:rFonts w:ascii="Arial" w:eastAsia="Times New Roman" w:hAnsi="Arial" w:cs="Times New Roman"/>
      <w:b/>
      <w:bCs/>
      <w:sz w:val="24"/>
      <w:szCs w:val="24"/>
      <w:lang w:val="en-GB" w:eastAsia="de-DE"/>
    </w:rPr>
  </w:style>
  <w:style w:type="paragraph" w:styleId="BodyTextIndent">
    <w:name w:val="Body Text Indent"/>
    <w:basedOn w:val="Normal"/>
    <w:link w:val="BodyTextIndentChar"/>
    <w:uiPriority w:val="99"/>
    <w:rsid w:val="009F755C"/>
    <w:pPr>
      <w:autoSpaceDE w:val="0"/>
      <w:autoSpaceDN w:val="0"/>
      <w:adjustRightInd w:val="0"/>
      <w:spacing w:line="480" w:lineRule="auto"/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F755C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styleId="LineNumber">
    <w:name w:val="line number"/>
    <w:basedOn w:val="DefaultParagraphFont"/>
    <w:uiPriority w:val="99"/>
    <w:semiHidden/>
    <w:unhideWhenUsed/>
    <w:rsid w:val="009F755C"/>
  </w:style>
  <w:style w:type="paragraph" w:styleId="Header">
    <w:name w:val="header"/>
    <w:basedOn w:val="Normal"/>
    <w:link w:val="HeaderChar"/>
    <w:unhideWhenUsed/>
    <w:rsid w:val="009F75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755C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9F75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55C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styleId="PageNumber">
    <w:name w:val="page number"/>
    <w:basedOn w:val="DefaultParagraphFont"/>
    <w:uiPriority w:val="99"/>
    <w:rsid w:val="009F75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23"/>
    <w:rPr>
      <w:rFonts w:ascii="Tahoma" w:eastAsia="Times New Roman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Fischer</dc:creator>
  <cp:lastModifiedBy>Christine Fischer</cp:lastModifiedBy>
  <cp:revision>2</cp:revision>
  <dcterms:created xsi:type="dcterms:W3CDTF">2014-05-14T13:04:00Z</dcterms:created>
  <dcterms:modified xsi:type="dcterms:W3CDTF">2014-05-14T13:04:00Z</dcterms:modified>
</cp:coreProperties>
</file>