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471" w:rsidRDefault="00457471" w:rsidP="006C4CEB">
      <w:pPr>
        <w:spacing w:after="200" w:line="276" w:lineRule="auto"/>
      </w:pPr>
      <w:r w:rsidRPr="002A2CAE">
        <w:rPr>
          <w:b/>
        </w:rPr>
        <w:t xml:space="preserve">Table ST </w:t>
      </w:r>
      <w:r w:rsidR="00557094">
        <w:rPr>
          <w:b/>
        </w:rPr>
        <w:t>1</w:t>
      </w:r>
      <w:r w:rsidRPr="002A2CAE">
        <w:rPr>
          <w:b/>
        </w:rPr>
        <w:t xml:space="preserve">. </w:t>
      </w:r>
      <w:r w:rsidR="00F3692C" w:rsidRPr="002A2CAE">
        <w:rPr>
          <w:b/>
        </w:rPr>
        <w:t>Expected and observed</w:t>
      </w:r>
      <w:r w:rsidR="005744FE" w:rsidRPr="002A2CAE">
        <w:rPr>
          <w:b/>
        </w:rPr>
        <w:t xml:space="preserve"> mean</w:t>
      </w:r>
      <w:r w:rsidR="00F3692C" w:rsidRPr="002A2CAE">
        <w:rPr>
          <w:b/>
        </w:rPr>
        <w:t xml:space="preserve"> heights and lengths of the </w:t>
      </w:r>
      <w:r w:rsidR="005744FE" w:rsidRPr="002A2CAE">
        <w:rPr>
          <w:b/>
        </w:rPr>
        <w:t xml:space="preserve">coalescent </w:t>
      </w:r>
      <w:r w:rsidR="00F3692C" w:rsidRPr="002A2CAE">
        <w:rPr>
          <w:b/>
        </w:rPr>
        <w:t>trees for 10 test examples.</w:t>
      </w:r>
      <w:r w:rsidR="00F3692C">
        <w:t xml:space="preserve"> The expected values for the time to the most recent common ancestor (</w:t>
      </w:r>
      <w:r w:rsidR="00F3692C" w:rsidRPr="00A840DF">
        <w:rPr>
          <w:i/>
        </w:rPr>
        <w:t>T</w:t>
      </w:r>
      <w:r w:rsidR="00F3692C" w:rsidRPr="00A840DF">
        <w:rPr>
          <w:i/>
          <w:vertAlign w:val="subscript"/>
        </w:rPr>
        <w:t>MRCA</w:t>
      </w:r>
      <w:r w:rsidR="00F3692C">
        <w:t>) and tree length (</w:t>
      </w:r>
      <w:r w:rsidR="00F3692C" w:rsidRPr="00A840DF">
        <w:rPr>
          <w:i/>
        </w:rPr>
        <w:t>L</w:t>
      </w:r>
      <w:r w:rsidR="00F3692C">
        <w:t xml:space="preserve">) were obtained by formulas (theoretical) </w:t>
      </w:r>
      <w:r w:rsidR="005744FE">
        <w:t xml:space="preserve">while the observed ones were obtained by </w:t>
      </w:r>
      <w:r w:rsidR="00F3692C">
        <w:t xml:space="preserve">averaging over 10 000 simulations that were performed with the programs </w:t>
      </w:r>
      <w:proofErr w:type="spellStart"/>
      <w:r w:rsidR="00F3692C">
        <w:t>BaySICS</w:t>
      </w:r>
      <w:proofErr w:type="spellEnd"/>
      <w:r w:rsidR="00F3692C">
        <w:t xml:space="preserve"> and Bayesian Serial </w:t>
      </w:r>
      <w:proofErr w:type="spellStart"/>
      <w:r w:rsidR="00F3692C">
        <w:t>Simcoal</w:t>
      </w:r>
      <w:proofErr w:type="spellEnd"/>
      <w:r w:rsidR="00F3692C">
        <w:t xml:space="preserve"> (</w:t>
      </w:r>
      <w:r w:rsidR="00DA385F">
        <w:t xml:space="preserve">in the case of </w:t>
      </w:r>
      <w:r w:rsidR="00F3692C">
        <w:t>BSSC</w:t>
      </w:r>
      <w:r w:rsidR="00DA385F">
        <w:t xml:space="preserve">, </w:t>
      </w:r>
      <w:r w:rsidR="00F3692C">
        <w:t xml:space="preserve">only </w:t>
      </w:r>
      <w:r w:rsidR="00F3692C" w:rsidRPr="0003559C">
        <w:rPr>
          <w:i/>
        </w:rPr>
        <w:t>T</w:t>
      </w:r>
      <w:r w:rsidR="00F3692C" w:rsidRPr="0003559C">
        <w:rPr>
          <w:i/>
          <w:vertAlign w:val="subscript"/>
        </w:rPr>
        <w:t>MRCA</w:t>
      </w:r>
      <w:r w:rsidR="00F3692C">
        <w:t>).  The test scenarios corresponded to:  1-3</w:t>
      </w:r>
      <w:r w:rsidR="00DA385F">
        <w:t>)</w:t>
      </w:r>
      <w:r w:rsidR="00F3692C">
        <w:t xml:space="preserve"> consisted </w:t>
      </w:r>
      <w:r w:rsidR="009A48F4">
        <w:t>of</w:t>
      </w:r>
      <w:r w:rsidR="00F3692C">
        <w:t xml:space="preserve"> a single population with a single sample consisting </w:t>
      </w:r>
      <w:r w:rsidR="009A48F4">
        <w:t>of</w:t>
      </w:r>
      <w:r w:rsidR="00F3692C">
        <w:t xml:space="preserve"> contemporary samples and no demographic events; 4-6</w:t>
      </w:r>
      <w:r w:rsidR="00DA385F">
        <w:t>)</w:t>
      </w:r>
      <w:r w:rsidR="00F3692C">
        <w:t xml:space="preserve"> consisted </w:t>
      </w:r>
      <w:r w:rsidR="009A48F4">
        <w:t>of</w:t>
      </w:r>
      <w:r w:rsidR="00F3692C">
        <w:t xml:space="preserve"> a single population with samples taken at two times, one at generation zero and one at the generation </w:t>
      </w:r>
      <w:r w:rsidR="00D245E7" w:rsidRPr="00D245E7">
        <w:rPr>
          <w:i/>
        </w:rPr>
        <w:t>T</w:t>
      </w:r>
      <w:r w:rsidR="00F3692C">
        <w:t xml:space="preserve"> indicated </w:t>
      </w:r>
      <w:r w:rsidR="00DA385F">
        <w:t xml:space="preserve">in the </w:t>
      </w:r>
      <w:r w:rsidR="00F3692C">
        <w:t xml:space="preserve"> parameters column. In addition</w:t>
      </w:r>
      <w:r w:rsidR="00DA385F">
        <w:t>,</w:t>
      </w:r>
      <w:r w:rsidR="00F3692C">
        <w:t xml:space="preserve"> the population was subject to a sudden change of effective population size going from size </w:t>
      </w:r>
      <w:r w:rsidR="00F3692C" w:rsidRPr="00706FFA">
        <w:rPr>
          <w:i/>
        </w:rPr>
        <w:t>N</w:t>
      </w:r>
      <w:r w:rsidR="00F3692C" w:rsidRPr="00706FFA">
        <w:rPr>
          <w:i/>
          <w:vertAlign w:val="subscript"/>
        </w:rPr>
        <w:t>e</w:t>
      </w:r>
      <w:r w:rsidR="00F3692C" w:rsidRPr="00706FFA">
        <w:rPr>
          <w:vertAlign w:val="subscript"/>
        </w:rPr>
        <w:t>1</w:t>
      </w:r>
      <w:r w:rsidR="00F3692C">
        <w:t xml:space="preserve"> to size </w:t>
      </w:r>
      <w:r w:rsidR="00F3692C" w:rsidRPr="00706FFA">
        <w:rPr>
          <w:i/>
        </w:rPr>
        <w:t>N</w:t>
      </w:r>
      <w:r w:rsidR="00F3692C" w:rsidRPr="00706FFA">
        <w:rPr>
          <w:i/>
          <w:vertAlign w:val="subscript"/>
        </w:rPr>
        <w:t>e</w:t>
      </w:r>
      <w:r w:rsidR="00F3692C" w:rsidRPr="00706FFA">
        <w:rPr>
          <w:vertAlign w:val="subscript"/>
        </w:rPr>
        <w:t>2</w:t>
      </w:r>
      <w:r w:rsidR="00F3692C">
        <w:t xml:space="preserve">. The time (in generations) </w:t>
      </w:r>
      <w:r w:rsidR="00DA385F">
        <w:t>of</w:t>
      </w:r>
      <w:r w:rsidR="00F3692C">
        <w:t xml:space="preserve"> this change coincided exactly with the time of </w:t>
      </w:r>
      <w:r w:rsidR="00DA385F">
        <w:t>sampling</w:t>
      </w:r>
      <w:r w:rsidR="00F3692C">
        <w:t xml:space="preserve"> of the older sample; 7-10</w:t>
      </w:r>
      <w:r w:rsidR="00DA385F">
        <w:t>)</w:t>
      </w:r>
      <w:r w:rsidR="00F3692C">
        <w:t xml:space="preserve"> consisted </w:t>
      </w:r>
      <w:r w:rsidR="00DA385F">
        <w:t>of</w:t>
      </w:r>
      <w:r w:rsidR="00F3692C">
        <w:t xml:space="preserve"> two populations with sizes </w:t>
      </w:r>
      <w:r w:rsidR="00F3692C" w:rsidRPr="00706FFA">
        <w:rPr>
          <w:i/>
        </w:rPr>
        <w:t>N</w:t>
      </w:r>
      <w:r w:rsidR="00F3692C" w:rsidRPr="00706FFA">
        <w:rPr>
          <w:i/>
          <w:vertAlign w:val="subscript"/>
        </w:rPr>
        <w:t>e</w:t>
      </w:r>
      <w:r w:rsidR="00F3692C" w:rsidRPr="00706FFA">
        <w:rPr>
          <w:vertAlign w:val="subscript"/>
        </w:rPr>
        <w:t>1</w:t>
      </w:r>
      <w:r w:rsidR="00F3692C">
        <w:t xml:space="preserve"> and </w:t>
      </w:r>
      <w:r w:rsidR="00F3692C" w:rsidRPr="00706FFA">
        <w:rPr>
          <w:i/>
        </w:rPr>
        <w:t>N</w:t>
      </w:r>
      <w:r w:rsidR="00F3692C" w:rsidRPr="00706FFA">
        <w:rPr>
          <w:i/>
          <w:vertAlign w:val="subscript"/>
        </w:rPr>
        <w:t>e</w:t>
      </w:r>
      <w:r w:rsidR="00F3692C" w:rsidRPr="00706FFA">
        <w:rPr>
          <w:vertAlign w:val="subscript"/>
        </w:rPr>
        <w:t>2</w:t>
      </w:r>
      <w:r w:rsidR="00F3692C">
        <w:t xml:space="preserve"> that originated </w:t>
      </w:r>
      <w:r w:rsidR="00DA385F">
        <w:t>from</w:t>
      </w:r>
      <w:r w:rsidR="00F3692C">
        <w:t xml:space="preserve"> a split event </w:t>
      </w:r>
      <w:r w:rsidR="00DA385F">
        <w:t xml:space="preserve">that </w:t>
      </w:r>
      <w:r w:rsidR="00F3692C">
        <w:t>happen</w:t>
      </w:r>
      <w:r w:rsidR="00DA385F">
        <w:t>ed</w:t>
      </w:r>
      <w:r w:rsidR="00F3692C">
        <w:t xml:space="preserve"> </w:t>
      </w:r>
      <w:r w:rsidR="00F3692C" w:rsidRPr="00706FFA">
        <w:rPr>
          <w:i/>
        </w:rPr>
        <w:t>T</w:t>
      </w:r>
      <w:r w:rsidR="00F3692C">
        <w:t xml:space="preserve"> generations ago from an ancestral population with size </w:t>
      </w:r>
      <w:r w:rsidR="00F3692C" w:rsidRPr="00706FFA">
        <w:rPr>
          <w:i/>
        </w:rPr>
        <w:t>N</w:t>
      </w:r>
      <w:r w:rsidR="00F3692C" w:rsidRPr="00706FFA">
        <w:rPr>
          <w:i/>
          <w:vertAlign w:val="subscript"/>
        </w:rPr>
        <w:t>e</w:t>
      </w:r>
      <w:r w:rsidR="00F3692C" w:rsidRPr="00706FFA">
        <w:rPr>
          <w:vertAlign w:val="subscript"/>
        </w:rPr>
        <w:t>3</w:t>
      </w:r>
      <w:r w:rsidR="00F3692C">
        <w:t>. Two contemporary samples were taken</w:t>
      </w:r>
      <w:r w:rsidR="00DA385F">
        <w:t>,</w:t>
      </w:r>
      <w:r w:rsidR="00F3692C">
        <w:t xml:space="preserve"> one from each present population. For examples 4-10</w:t>
      </w:r>
      <w:r w:rsidR="00DA385F">
        <w:t>,</w:t>
      </w:r>
      <w:r w:rsidR="00F3692C">
        <w:t xml:space="preserve"> the theoretical expectation was obtained by adding the expected lengths of each population sub-tree or each sub-tree obtained from one contemporary subsample plus the length of the lineages between the</w:t>
      </w:r>
      <w:r w:rsidR="005744FE">
        <w:t xml:space="preserve"> local</w:t>
      </w:r>
      <w:r w:rsidR="00F3692C">
        <w:t xml:space="preserve"> MRCA and the next event. </w:t>
      </w:r>
      <w:r w:rsidR="0057152C">
        <w:t>S</w:t>
      </w:r>
      <w:r w:rsidR="00F3692C">
        <w:t>how</w:t>
      </w:r>
      <w:r w:rsidR="00DA385F">
        <w:t>n</w:t>
      </w:r>
      <w:r w:rsidR="00F3692C">
        <w:t xml:space="preserve"> examples correspond only to a subset of the examples analyzed. Additional tests involved different sample sizes and parameter values as well as times to coalescent events other than the MRCA. Notice that tests for different values of </w:t>
      </w:r>
      <w:r w:rsidR="00F3692C" w:rsidRPr="00A91EFD">
        <w:rPr>
          <w:i/>
        </w:rPr>
        <w:t>N</w:t>
      </w:r>
      <w:r w:rsidR="00F3692C" w:rsidRPr="00A91EFD">
        <w:rPr>
          <w:i/>
          <w:vertAlign w:val="subscript"/>
        </w:rPr>
        <w:t>e</w:t>
      </w:r>
      <w:r w:rsidR="00F3692C">
        <w:t xml:space="preserve"> are somehow redundant since </w:t>
      </w:r>
      <w:r w:rsidR="00F3692C" w:rsidRPr="00A91EFD">
        <w:rPr>
          <w:i/>
        </w:rPr>
        <w:t>L</w:t>
      </w:r>
      <w:r w:rsidR="00F3692C">
        <w:t xml:space="preserve"> and  </w:t>
      </w:r>
      <w:r w:rsidR="00F3692C" w:rsidRPr="00A91EFD">
        <w:rPr>
          <w:i/>
        </w:rPr>
        <w:t>T</w:t>
      </w:r>
      <w:r w:rsidR="00F3692C" w:rsidRPr="00A91EFD">
        <w:rPr>
          <w:i/>
          <w:vertAlign w:val="subscript"/>
        </w:rPr>
        <w:t>MRCA</w:t>
      </w:r>
      <w:r w:rsidR="00F3692C">
        <w:t xml:space="preserve"> only depend </w:t>
      </w:r>
      <w:r w:rsidR="00DA385F">
        <w:t>on</w:t>
      </w:r>
      <w:r w:rsidR="00F3692C">
        <w:t xml:space="preserve"> </w:t>
      </w:r>
      <w:r w:rsidR="00F3692C" w:rsidRPr="00A91EFD">
        <w:rPr>
          <w:i/>
        </w:rPr>
        <w:t>N</w:t>
      </w:r>
      <w:r w:rsidR="00F3692C" w:rsidRPr="00A91EFD">
        <w:rPr>
          <w:i/>
          <w:vertAlign w:val="subscript"/>
        </w:rPr>
        <w:t>e</w:t>
      </w:r>
      <w:r w:rsidR="00F3692C">
        <w:t xml:space="preserve"> as a scaling factor; unless </w:t>
      </w:r>
      <w:proofErr w:type="spellStart"/>
      <w:r w:rsidR="00F3692C">
        <w:t>heterochronous</w:t>
      </w:r>
      <w:proofErr w:type="spellEnd"/>
      <w:r w:rsidR="00F3692C">
        <w:t xml:space="preserve"> samples or demographic events are involved.</w:t>
      </w:r>
    </w:p>
    <w:p w:rsidR="00A24AF1" w:rsidRDefault="00A24AF1" w:rsidP="006C4CEB">
      <w:pPr>
        <w:spacing w:after="200" w:line="276" w:lineRule="auto"/>
      </w:pPr>
    </w:p>
    <w:tbl>
      <w:tblPr>
        <w:tblStyle w:val="Tablaconcuadrcula"/>
        <w:tblW w:w="0" w:type="auto"/>
        <w:jc w:val="center"/>
        <w:tblInd w:w="-167" w:type="dxa"/>
        <w:tblLook w:val="04A0"/>
      </w:tblPr>
      <w:tblGrid>
        <w:gridCol w:w="436"/>
        <w:gridCol w:w="2890"/>
        <w:gridCol w:w="891"/>
        <w:gridCol w:w="1087"/>
        <w:gridCol w:w="1160"/>
        <w:gridCol w:w="1160"/>
        <w:gridCol w:w="1160"/>
        <w:gridCol w:w="1087"/>
      </w:tblGrid>
      <w:tr w:rsidR="00F3692C" w:rsidTr="0057152C">
        <w:trPr>
          <w:jc w:val="center"/>
        </w:trPr>
        <w:tc>
          <w:tcPr>
            <w:tcW w:w="354" w:type="dxa"/>
            <w:vMerge w:val="restart"/>
            <w:tcBorders>
              <w:top w:val="nil"/>
              <w:left w:val="nil"/>
              <w:right w:val="nil"/>
            </w:tcBorders>
          </w:tcPr>
          <w:p w:rsidR="00F3692C" w:rsidRDefault="00F3692C" w:rsidP="009A48F4">
            <w:pPr>
              <w:rPr>
                <w:rFonts w:ascii="Times New Roman" w:hAnsi="Times New Roman" w:cs="Times New Roman"/>
              </w:rPr>
            </w:pPr>
            <w:r>
              <w:rPr>
                <w:rFonts w:ascii="Times New Roman" w:hAnsi="Times New Roman" w:cs="Times New Roman"/>
              </w:rPr>
              <w:t xml:space="preserve">  </w:t>
            </w:r>
          </w:p>
          <w:p w:rsidR="00F3692C" w:rsidRPr="00A840DF" w:rsidRDefault="00F3692C" w:rsidP="009A48F4">
            <w:pPr>
              <w:rPr>
                <w:rFonts w:ascii="Times New Roman" w:hAnsi="Times New Roman" w:cs="Times New Roman"/>
              </w:rPr>
            </w:pPr>
            <w:r>
              <w:rPr>
                <w:rFonts w:ascii="Times New Roman" w:hAnsi="Times New Roman" w:cs="Times New Roman"/>
              </w:rPr>
              <w:t>#</w:t>
            </w:r>
          </w:p>
        </w:tc>
        <w:tc>
          <w:tcPr>
            <w:tcW w:w="2890" w:type="dxa"/>
            <w:tcBorders>
              <w:top w:val="nil"/>
              <w:left w:val="nil"/>
              <w:bottom w:val="nil"/>
              <w:right w:val="nil"/>
            </w:tcBorders>
          </w:tcPr>
          <w:p w:rsidR="00F3692C" w:rsidRPr="00A840DF" w:rsidRDefault="00F3692C" w:rsidP="009A48F4">
            <w:pPr>
              <w:rPr>
                <w:rFonts w:ascii="Times New Roman" w:hAnsi="Times New Roman" w:cs="Times New Roman"/>
              </w:rPr>
            </w:pPr>
            <w:r w:rsidRPr="00A840DF">
              <w:rPr>
                <w:rFonts w:ascii="Times New Roman" w:hAnsi="Times New Roman" w:cs="Times New Roman"/>
              </w:rPr>
              <w:t>Parameters</w:t>
            </w:r>
          </w:p>
        </w:tc>
        <w:tc>
          <w:tcPr>
            <w:tcW w:w="891" w:type="dxa"/>
            <w:vMerge w:val="restart"/>
            <w:tcBorders>
              <w:top w:val="nil"/>
              <w:left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Sample size</w:t>
            </w:r>
          </w:p>
        </w:tc>
        <w:tc>
          <w:tcPr>
            <w:tcW w:w="2247" w:type="dxa"/>
            <w:gridSpan w:val="2"/>
            <w:tcBorders>
              <w:top w:val="nil"/>
              <w:left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Theoretical</w:t>
            </w:r>
          </w:p>
        </w:tc>
        <w:tc>
          <w:tcPr>
            <w:tcW w:w="2320" w:type="dxa"/>
            <w:gridSpan w:val="2"/>
            <w:tcBorders>
              <w:top w:val="nil"/>
              <w:left w:val="nil"/>
              <w:right w:val="nil"/>
            </w:tcBorders>
          </w:tcPr>
          <w:p w:rsidR="00F3692C" w:rsidRPr="00A840DF" w:rsidRDefault="00F3692C" w:rsidP="009A48F4">
            <w:pPr>
              <w:jc w:val="center"/>
              <w:rPr>
                <w:rFonts w:ascii="Times New Roman" w:hAnsi="Times New Roman" w:cs="Times New Roman"/>
              </w:rPr>
            </w:pPr>
            <w:proofErr w:type="spellStart"/>
            <w:r w:rsidRPr="00A840DF">
              <w:rPr>
                <w:rFonts w:ascii="Times New Roman" w:hAnsi="Times New Roman" w:cs="Times New Roman"/>
              </w:rPr>
              <w:t>BaySICS</w:t>
            </w:r>
            <w:proofErr w:type="spellEnd"/>
          </w:p>
        </w:tc>
        <w:tc>
          <w:tcPr>
            <w:tcW w:w="1087" w:type="dxa"/>
            <w:tcBorders>
              <w:top w:val="nil"/>
              <w:left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BSSC</w:t>
            </w:r>
          </w:p>
        </w:tc>
      </w:tr>
      <w:tr w:rsidR="00F3692C" w:rsidTr="0057152C">
        <w:trPr>
          <w:jc w:val="center"/>
        </w:trPr>
        <w:tc>
          <w:tcPr>
            <w:tcW w:w="354" w:type="dxa"/>
            <w:vMerge/>
            <w:tcBorders>
              <w:left w:val="nil"/>
              <w:bottom w:val="single" w:sz="12" w:space="0" w:color="auto"/>
              <w:right w:val="nil"/>
            </w:tcBorders>
          </w:tcPr>
          <w:p w:rsidR="00F3692C" w:rsidRPr="00A840DF" w:rsidRDefault="00F3692C" w:rsidP="009A48F4">
            <w:pPr>
              <w:rPr>
                <w:rFonts w:ascii="Times New Roman" w:hAnsi="Times New Roman" w:cs="Times New Roman"/>
                <w:i/>
              </w:rPr>
            </w:pPr>
          </w:p>
        </w:tc>
        <w:tc>
          <w:tcPr>
            <w:tcW w:w="2890" w:type="dxa"/>
            <w:tcBorders>
              <w:top w:val="nil"/>
              <w:left w:val="nil"/>
              <w:bottom w:val="single" w:sz="12" w:space="0" w:color="auto"/>
              <w:right w:val="nil"/>
            </w:tcBorders>
          </w:tcPr>
          <w:p w:rsidR="00F3692C" w:rsidRPr="00A840DF" w:rsidRDefault="00F3692C" w:rsidP="009A48F4">
            <w:pPr>
              <w:rPr>
                <w:rFonts w:ascii="Times New Roman" w:hAnsi="Times New Roman" w:cs="Times New Roman"/>
              </w:rPr>
            </w:pPr>
            <w:r w:rsidRPr="00A840DF">
              <w:rPr>
                <w:rFonts w:ascii="Times New Roman" w:hAnsi="Times New Roman" w:cs="Times New Roman"/>
                <w:i/>
              </w:rPr>
              <w:t>N</w:t>
            </w:r>
            <w:r w:rsidRPr="00A840DF">
              <w:rPr>
                <w:rFonts w:ascii="Times New Roman" w:hAnsi="Times New Roman" w:cs="Times New Roman"/>
                <w:i/>
                <w:vertAlign w:val="subscript"/>
              </w:rPr>
              <w:t>e</w:t>
            </w:r>
            <w:r w:rsidRPr="00A840DF">
              <w:rPr>
                <w:rFonts w:ascii="Times New Roman" w:hAnsi="Times New Roman" w:cs="Times New Roman"/>
                <w:vertAlign w:val="subscript"/>
              </w:rPr>
              <w:t>1</w:t>
            </w:r>
            <w:r w:rsidRPr="00A840DF">
              <w:rPr>
                <w:rFonts w:ascii="Times New Roman" w:hAnsi="Times New Roman" w:cs="Times New Roman"/>
              </w:rPr>
              <w:t xml:space="preserve">, </w:t>
            </w:r>
            <w:r w:rsidRPr="00A840DF">
              <w:rPr>
                <w:rFonts w:ascii="Times New Roman" w:hAnsi="Times New Roman" w:cs="Times New Roman"/>
                <w:i/>
              </w:rPr>
              <w:t>N</w:t>
            </w:r>
            <w:r w:rsidRPr="00A840DF">
              <w:rPr>
                <w:rFonts w:ascii="Times New Roman" w:hAnsi="Times New Roman" w:cs="Times New Roman"/>
                <w:i/>
                <w:vertAlign w:val="subscript"/>
              </w:rPr>
              <w:t>e</w:t>
            </w:r>
            <w:r w:rsidRPr="00A840DF">
              <w:rPr>
                <w:rFonts w:ascii="Times New Roman" w:hAnsi="Times New Roman" w:cs="Times New Roman"/>
                <w:vertAlign w:val="subscript"/>
              </w:rPr>
              <w:t>2</w:t>
            </w:r>
            <w:r w:rsidRPr="00A840DF">
              <w:rPr>
                <w:rFonts w:ascii="Times New Roman" w:hAnsi="Times New Roman" w:cs="Times New Roman"/>
              </w:rPr>
              <w:t xml:space="preserve">, </w:t>
            </w:r>
            <w:r w:rsidRPr="00A840DF">
              <w:rPr>
                <w:rFonts w:ascii="Times New Roman" w:hAnsi="Times New Roman" w:cs="Times New Roman"/>
                <w:i/>
              </w:rPr>
              <w:t>N</w:t>
            </w:r>
            <w:r w:rsidRPr="00A840DF">
              <w:rPr>
                <w:rFonts w:ascii="Times New Roman" w:hAnsi="Times New Roman" w:cs="Times New Roman"/>
                <w:i/>
                <w:vertAlign w:val="subscript"/>
              </w:rPr>
              <w:t>e3</w:t>
            </w:r>
            <w:r w:rsidRPr="00A840DF">
              <w:rPr>
                <w:rFonts w:ascii="Times New Roman" w:hAnsi="Times New Roman" w:cs="Times New Roman"/>
                <w:i/>
              </w:rPr>
              <w:t xml:space="preserve"> </w:t>
            </w:r>
            <w:r w:rsidRPr="00A840DF">
              <w:rPr>
                <w:rFonts w:ascii="Times New Roman" w:hAnsi="Times New Roman" w:cs="Times New Roman"/>
              </w:rPr>
              <w:t xml:space="preserve">/ </w:t>
            </w:r>
            <w:r w:rsidRPr="00A840DF">
              <w:rPr>
                <w:rFonts w:ascii="Times New Roman" w:hAnsi="Times New Roman" w:cs="Times New Roman"/>
                <w:i/>
              </w:rPr>
              <w:t>T</w:t>
            </w:r>
          </w:p>
        </w:tc>
        <w:tc>
          <w:tcPr>
            <w:tcW w:w="891" w:type="dxa"/>
            <w:vMerge/>
            <w:tcBorders>
              <w:left w:val="nil"/>
              <w:bottom w:val="single" w:sz="12" w:space="0" w:color="auto"/>
              <w:right w:val="nil"/>
            </w:tcBorders>
          </w:tcPr>
          <w:p w:rsidR="00F3692C" w:rsidRPr="00A840DF" w:rsidRDefault="00F3692C" w:rsidP="009A48F4">
            <w:pPr>
              <w:jc w:val="center"/>
              <w:rPr>
                <w:rFonts w:ascii="Times New Roman" w:hAnsi="Times New Roman" w:cs="Times New Roman"/>
                <w:i/>
              </w:rPr>
            </w:pPr>
          </w:p>
        </w:tc>
        <w:tc>
          <w:tcPr>
            <w:tcW w:w="1087" w:type="dxa"/>
            <w:tcBorders>
              <w:left w:val="nil"/>
              <w:bottom w:val="single" w:sz="12" w:space="0" w:color="auto"/>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i/>
              </w:rPr>
              <w:t>E</w:t>
            </w:r>
            <w:r w:rsidRPr="00A840DF">
              <w:rPr>
                <w:rFonts w:ascii="Times New Roman" w:hAnsi="Times New Roman" w:cs="Times New Roman"/>
              </w:rPr>
              <w:t>(</w:t>
            </w:r>
            <w:r w:rsidRPr="00A840DF">
              <w:rPr>
                <w:rFonts w:ascii="Times New Roman" w:hAnsi="Times New Roman" w:cs="Times New Roman"/>
                <w:i/>
              </w:rPr>
              <w:t>T</w:t>
            </w:r>
            <w:r w:rsidRPr="00A840DF">
              <w:rPr>
                <w:rFonts w:ascii="Times New Roman" w:hAnsi="Times New Roman" w:cs="Times New Roman"/>
                <w:i/>
                <w:vertAlign w:val="subscript"/>
              </w:rPr>
              <w:t>MRCA</w:t>
            </w:r>
            <w:r w:rsidRPr="00A840DF">
              <w:rPr>
                <w:rFonts w:ascii="Times New Roman" w:hAnsi="Times New Roman" w:cs="Times New Roman"/>
              </w:rPr>
              <w:t>)</w:t>
            </w:r>
          </w:p>
        </w:tc>
        <w:tc>
          <w:tcPr>
            <w:tcW w:w="1160" w:type="dxa"/>
            <w:tcBorders>
              <w:left w:val="nil"/>
              <w:bottom w:val="single" w:sz="12" w:space="0" w:color="auto"/>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i/>
              </w:rPr>
              <w:t>E</w:t>
            </w:r>
            <w:r w:rsidRPr="00A840DF">
              <w:rPr>
                <w:rFonts w:ascii="Times New Roman" w:hAnsi="Times New Roman" w:cs="Times New Roman"/>
              </w:rPr>
              <w:t>(</w:t>
            </w:r>
            <w:r w:rsidRPr="00A840DF">
              <w:rPr>
                <w:rFonts w:ascii="Times New Roman" w:hAnsi="Times New Roman" w:cs="Times New Roman"/>
                <w:i/>
              </w:rPr>
              <w:t>L</w:t>
            </w:r>
            <w:r w:rsidRPr="00A840DF">
              <w:rPr>
                <w:rFonts w:ascii="Times New Roman" w:hAnsi="Times New Roman" w:cs="Times New Roman"/>
              </w:rPr>
              <w:t>)</w:t>
            </w:r>
          </w:p>
        </w:tc>
        <w:tc>
          <w:tcPr>
            <w:tcW w:w="1160" w:type="dxa"/>
            <w:tcBorders>
              <w:left w:val="nil"/>
              <w:bottom w:val="single" w:sz="12" w:space="0" w:color="auto"/>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i/>
              </w:rPr>
              <w:t>T</w:t>
            </w:r>
            <w:r w:rsidRPr="00A840DF">
              <w:rPr>
                <w:rFonts w:ascii="Times New Roman" w:hAnsi="Times New Roman" w:cs="Times New Roman"/>
                <w:i/>
                <w:vertAlign w:val="subscript"/>
              </w:rPr>
              <w:t>MRCA</w:t>
            </w:r>
          </w:p>
        </w:tc>
        <w:tc>
          <w:tcPr>
            <w:tcW w:w="1160" w:type="dxa"/>
            <w:tcBorders>
              <w:left w:val="nil"/>
              <w:bottom w:val="single" w:sz="12" w:space="0" w:color="auto"/>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i/>
              </w:rPr>
              <w:t>L</w:t>
            </w:r>
          </w:p>
        </w:tc>
        <w:tc>
          <w:tcPr>
            <w:tcW w:w="1087" w:type="dxa"/>
            <w:tcBorders>
              <w:left w:val="nil"/>
              <w:bottom w:val="single" w:sz="12" w:space="0" w:color="auto"/>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i/>
              </w:rPr>
              <w:t>T</w:t>
            </w:r>
            <w:r w:rsidRPr="00A840DF">
              <w:rPr>
                <w:rFonts w:ascii="Times New Roman" w:hAnsi="Times New Roman" w:cs="Times New Roman"/>
                <w:i/>
                <w:vertAlign w:val="subscript"/>
              </w:rPr>
              <w:t>MRCA</w:t>
            </w:r>
          </w:p>
        </w:tc>
      </w:tr>
      <w:tr w:rsidR="00F3692C" w:rsidTr="0057152C">
        <w:trPr>
          <w:jc w:val="center"/>
        </w:trPr>
        <w:tc>
          <w:tcPr>
            <w:tcW w:w="354" w:type="dxa"/>
            <w:tcBorders>
              <w:top w:val="single" w:sz="12" w:space="0" w:color="auto"/>
              <w:left w:val="nil"/>
              <w:bottom w:val="nil"/>
              <w:right w:val="nil"/>
            </w:tcBorders>
          </w:tcPr>
          <w:p w:rsidR="00F3692C" w:rsidRPr="00A840DF" w:rsidRDefault="00F3692C" w:rsidP="009A48F4">
            <w:pPr>
              <w:jc w:val="center"/>
              <w:rPr>
                <w:rFonts w:ascii="Times New Roman" w:hAnsi="Times New Roman" w:cs="Times New Roman"/>
              </w:rPr>
            </w:pPr>
            <w:r>
              <w:rPr>
                <w:rFonts w:ascii="Times New Roman" w:hAnsi="Times New Roman" w:cs="Times New Roman"/>
              </w:rPr>
              <w:t>1</w:t>
            </w:r>
          </w:p>
        </w:tc>
        <w:tc>
          <w:tcPr>
            <w:tcW w:w="2890" w:type="dxa"/>
            <w:tcBorders>
              <w:top w:val="single" w:sz="12" w:space="0" w:color="auto"/>
              <w:left w:val="nil"/>
              <w:bottom w:val="nil"/>
              <w:right w:val="nil"/>
            </w:tcBorders>
          </w:tcPr>
          <w:p w:rsidR="00F3692C" w:rsidRPr="00A840DF" w:rsidRDefault="00F3692C" w:rsidP="009A48F4">
            <w:pPr>
              <w:rPr>
                <w:rFonts w:ascii="Times New Roman" w:hAnsi="Times New Roman" w:cs="Times New Roman"/>
              </w:rPr>
            </w:pPr>
            <w:r w:rsidRPr="00A840DF">
              <w:rPr>
                <w:rFonts w:ascii="Times New Roman" w:hAnsi="Times New Roman" w:cs="Times New Roman"/>
              </w:rPr>
              <w:t>100</w:t>
            </w:r>
          </w:p>
        </w:tc>
        <w:tc>
          <w:tcPr>
            <w:tcW w:w="891" w:type="dxa"/>
            <w:tcBorders>
              <w:top w:val="single" w:sz="12" w:space="0" w:color="auto"/>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100</w:t>
            </w:r>
          </w:p>
        </w:tc>
        <w:tc>
          <w:tcPr>
            <w:tcW w:w="1087" w:type="dxa"/>
            <w:tcBorders>
              <w:top w:val="single" w:sz="12" w:space="0" w:color="auto"/>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198.0</w:t>
            </w:r>
          </w:p>
        </w:tc>
        <w:tc>
          <w:tcPr>
            <w:tcW w:w="1160" w:type="dxa"/>
            <w:tcBorders>
              <w:top w:val="single" w:sz="12" w:space="0" w:color="auto"/>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1035.4</w:t>
            </w:r>
          </w:p>
        </w:tc>
        <w:tc>
          <w:tcPr>
            <w:tcW w:w="1160" w:type="dxa"/>
            <w:tcBorders>
              <w:top w:val="single" w:sz="12" w:space="0" w:color="auto"/>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199.2</w:t>
            </w:r>
          </w:p>
        </w:tc>
        <w:tc>
          <w:tcPr>
            <w:tcW w:w="1160" w:type="dxa"/>
            <w:tcBorders>
              <w:top w:val="single" w:sz="12" w:space="0" w:color="auto"/>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1036.4</w:t>
            </w:r>
          </w:p>
        </w:tc>
        <w:tc>
          <w:tcPr>
            <w:tcW w:w="1087" w:type="dxa"/>
            <w:tcBorders>
              <w:top w:val="single" w:sz="12" w:space="0" w:color="auto"/>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182.75</w:t>
            </w:r>
          </w:p>
        </w:tc>
      </w:tr>
      <w:tr w:rsidR="00F3692C" w:rsidTr="0057152C">
        <w:trPr>
          <w:jc w:val="center"/>
        </w:trPr>
        <w:tc>
          <w:tcPr>
            <w:tcW w:w="354" w:type="dxa"/>
            <w:tcBorders>
              <w:top w:val="nil"/>
              <w:left w:val="nil"/>
              <w:bottom w:val="nil"/>
              <w:right w:val="nil"/>
            </w:tcBorders>
          </w:tcPr>
          <w:p w:rsidR="00F3692C" w:rsidRPr="00A840DF" w:rsidRDefault="00F3692C" w:rsidP="009A48F4">
            <w:pPr>
              <w:jc w:val="center"/>
              <w:rPr>
                <w:rFonts w:ascii="Times New Roman" w:hAnsi="Times New Roman" w:cs="Times New Roman"/>
              </w:rPr>
            </w:pPr>
            <w:r>
              <w:rPr>
                <w:rFonts w:ascii="Times New Roman" w:hAnsi="Times New Roman" w:cs="Times New Roman"/>
              </w:rPr>
              <w:t>2</w:t>
            </w:r>
          </w:p>
        </w:tc>
        <w:tc>
          <w:tcPr>
            <w:tcW w:w="2890" w:type="dxa"/>
            <w:tcBorders>
              <w:top w:val="nil"/>
              <w:left w:val="nil"/>
              <w:bottom w:val="nil"/>
              <w:right w:val="nil"/>
            </w:tcBorders>
          </w:tcPr>
          <w:p w:rsidR="00F3692C" w:rsidRPr="00A840DF" w:rsidRDefault="00F3692C" w:rsidP="009A48F4">
            <w:pPr>
              <w:rPr>
                <w:rFonts w:ascii="Times New Roman" w:hAnsi="Times New Roman" w:cs="Times New Roman"/>
              </w:rPr>
            </w:pPr>
            <w:r w:rsidRPr="00A840DF">
              <w:rPr>
                <w:rFonts w:ascii="Times New Roman" w:hAnsi="Times New Roman" w:cs="Times New Roman"/>
              </w:rPr>
              <w:t>25000</w:t>
            </w:r>
          </w:p>
        </w:tc>
        <w:tc>
          <w:tcPr>
            <w:tcW w:w="891"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100</w:t>
            </w:r>
          </w:p>
        </w:tc>
        <w:tc>
          <w:tcPr>
            <w:tcW w:w="1087"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49500.0</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258868.9</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49692.3</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259189.3</w:t>
            </w:r>
          </w:p>
        </w:tc>
        <w:tc>
          <w:tcPr>
            <w:tcW w:w="1087"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49366.8</w:t>
            </w:r>
          </w:p>
        </w:tc>
      </w:tr>
      <w:tr w:rsidR="00F3692C" w:rsidTr="0057152C">
        <w:trPr>
          <w:jc w:val="center"/>
        </w:trPr>
        <w:tc>
          <w:tcPr>
            <w:tcW w:w="354" w:type="dxa"/>
            <w:tcBorders>
              <w:top w:val="nil"/>
              <w:left w:val="nil"/>
              <w:bottom w:val="nil"/>
              <w:right w:val="nil"/>
            </w:tcBorders>
          </w:tcPr>
          <w:p w:rsidR="00F3692C" w:rsidRPr="00A840DF" w:rsidRDefault="00F3692C" w:rsidP="009A48F4">
            <w:pPr>
              <w:jc w:val="center"/>
              <w:rPr>
                <w:rFonts w:ascii="Times New Roman" w:hAnsi="Times New Roman" w:cs="Times New Roman"/>
              </w:rPr>
            </w:pPr>
            <w:r>
              <w:rPr>
                <w:rFonts w:ascii="Times New Roman" w:hAnsi="Times New Roman" w:cs="Times New Roman"/>
              </w:rPr>
              <w:t>3</w:t>
            </w:r>
          </w:p>
        </w:tc>
        <w:tc>
          <w:tcPr>
            <w:tcW w:w="2890" w:type="dxa"/>
            <w:tcBorders>
              <w:top w:val="nil"/>
              <w:left w:val="nil"/>
              <w:bottom w:val="nil"/>
              <w:right w:val="nil"/>
            </w:tcBorders>
          </w:tcPr>
          <w:p w:rsidR="00F3692C" w:rsidRPr="00A840DF" w:rsidRDefault="00F3692C" w:rsidP="009A48F4">
            <w:pPr>
              <w:rPr>
                <w:rFonts w:ascii="Times New Roman" w:hAnsi="Times New Roman" w:cs="Times New Roman"/>
              </w:rPr>
            </w:pPr>
            <w:r w:rsidRPr="00A840DF">
              <w:rPr>
                <w:rFonts w:ascii="Times New Roman" w:hAnsi="Times New Roman" w:cs="Times New Roman"/>
              </w:rPr>
              <w:t>135000</w:t>
            </w:r>
          </w:p>
        </w:tc>
        <w:tc>
          <w:tcPr>
            <w:tcW w:w="891"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100</w:t>
            </w:r>
          </w:p>
        </w:tc>
        <w:tc>
          <w:tcPr>
            <w:tcW w:w="1087"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267300.0</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1397891.9</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268163.84</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1396814.5</w:t>
            </w:r>
          </w:p>
        </w:tc>
        <w:tc>
          <w:tcPr>
            <w:tcW w:w="1087"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270368.6</w:t>
            </w:r>
          </w:p>
        </w:tc>
      </w:tr>
      <w:tr w:rsidR="00F3692C" w:rsidTr="0057152C">
        <w:trPr>
          <w:jc w:val="center"/>
        </w:trPr>
        <w:tc>
          <w:tcPr>
            <w:tcW w:w="354" w:type="dxa"/>
            <w:tcBorders>
              <w:top w:val="nil"/>
              <w:left w:val="nil"/>
              <w:bottom w:val="nil"/>
              <w:right w:val="nil"/>
            </w:tcBorders>
          </w:tcPr>
          <w:p w:rsidR="00F3692C" w:rsidRPr="00A840DF" w:rsidRDefault="00F3692C" w:rsidP="009A48F4">
            <w:pPr>
              <w:jc w:val="center"/>
              <w:rPr>
                <w:rFonts w:ascii="Times New Roman" w:hAnsi="Times New Roman" w:cs="Times New Roman"/>
              </w:rPr>
            </w:pPr>
            <w:r>
              <w:rPr>
                <w:rFonts w:ascii="Times New Roman" w:hAnsi="Times New Roman" w:cs="Times New Roman"/>
              </w:rPr>
              <w:t>4</w:t>
            </w:r>
          </w:p>
        </w:tc>
        <w:tc>
          <w:tcPr>
            <w:tcW w:w="2890" w:type="dxa"/>
            <w:tcBorders>
              <w:top w:val="nil"/>
              <w:left w:val="nil"/>
              <w:bottom w:val="nil"/>
              <w:right w:val="nil"/>
            </w:tcBorders>
          </w:tcPr>
          <w:p w:rsidR="00F3692C" w:rsidRPr="00A840DF" w:rsidRDefault="00F3692C" w:rsidP="009A48F4">
            <w:pPr>
              <w:rPr>
                <w:rFonts w:ascii="Times New Roman" w:hAnsi="Times New Roman" w:cs="Times New Roman"/>
              </w:rPr>
            </w:pPr>
            <w:r w:rsidRPr="00A840DF">
              <w:rPr>
                <w:rFonts w:ascii="Times New Roman" w:hAnsi="Times New Roman" w:cs="Times New Roman"/>
              </w:rPr>
              <w:t>100, 1000 / 1000</w:t>
            </w:r>
          </w:p>
        </w:tc>
        <w:tc>
          <w:tcPr>
            <w:tcW w:w="891"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50+50</w:t>
            </w:r>
          </w:p>
        </w:tc>
        <w:tc>
          <w:tcPr>
            <w:tcW w:w="1087"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2960.8</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10741.5</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2947.22</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10675.3</w:t>
            </w:r>
          </w:p>
        </w:tc>
        <w:tc>
          <w:tcPr>
            <w:tcW w:w="1087"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2938.8</w:t>
            </w:r>
          </w:p>
        </w:tc>
      </w:tr>
      <w:tr w:rsidR="00F3692C" w:rsidTr="0057152C">
        <w:trPr>
          <w:jc w:val="center"/>
        </w:trPr>
        <w:tc>
          <w:tcPr>
            <w:tcW w:w="354" w:type="dxa"/>
            <w:tcBorders>
              <w:top w:val="nil"/>
              <w:left w:val="nil"/>
              <w:bottom w:val="nil"/>
              <w:right w:val="nil"/>
            </w:tcBorders>
          </w:tcPr>
          <w:p w:rsidR="00F3692C" w:rsidRPr="00A840DF" w:rsidRDefault="00F3692C" w:rsidP="009A48F4">
            <w:pPr>
              <w:jc w:val="center"/>
              <w:rPr>
                <w:rFonts w:ascii="Times New Roman" w:hAnsi="Times New Roman" w:cs="Times New Roman"/>
              </w:rPr>
            </w:pPr>
            <w:r>
              <w:rPr>
                <w:rFonts w:ascii="Times New Roman" w:hAnsi="Times New Roman" w:cs="Times New Roman"/>
              </w:rPr>
              <w:t>5</w:t>
            </w:r>
          </w:p>
        </w:tc>
        <w:tc>
          <w:tcPr>
            <w:tcW w:w="2890" w:type="dxa"/>
            <w:tcBorders>
              <w:top w:val="nil"/>
              <w:left w:val="nil"/>
              <w:bottom w:val="nil"/>
              <w:right w:val="nil"/>
            </w:tcBorders>
          </w:tcPr>
          <w:p w:rsidR="00F3692C" w:rsidRPr="00A840DF" w:rsidRDefault="00F3692C" w:rsidP="009A48F4">
            <w:pPr>
              <w:rPr>
                <w:rFonts w:ascii="Times New Roman" w:hAnsi="Times New Roman" w:cs="Times New Roman"/>
              </w:rPr>
            </w:pPr>
            <w:r w:rsidRPr="00A840DF">
              <w:rPr>
                <w:rFonts w:ascii="Times New Roman" w:hAnsi="Times New Roman" w:cs="Times New Roman"/>
              </w:rPr>
              <w:t>250, 5000 / 2500</w:t>
            </w:r>
          </w:p>
        </w:tc>
        <w:tc>
          <w:tcPr>
            <w:tcW w:w="891"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50+50</w:t>
            </w:r>
          </w:p>
        </w:tc>
        <w:tc>
          <w:tcPr>
            <w:tcW w:w="1087"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12303.9</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49447.7</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12295.4</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49089.8</w:t>
            </w:r>
          </w:p>
        </w:tc>
        <w:tc>
          <w:tcPr>
            <w:tcW w:w="1087"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12177.8</w:t>
            </w:r>
          </w:p>
        </w:tc>
      </w:tr>
      <w:tr w:rsidR="00F3692C" w:rsidTr="0057152C">
        <w:trPr>
          <w:jc w:val="center"/>
        </w:trPr>
        <w:tc>
          <w:tcPr>
            <w:tcW w:w="354" w:type="dxa"/>
            <w:tcBorders>
              <w:top w:val="nil"/>
              <w:left w:val="nil"/>
              <w:bottom w:val="nil"/>
              <w:right w:val="nil"/>
            </w:tcBorders>
          </w:tcPr>
          <w:p w:rsidR="00F3692C" w:rsidRPr="00A840DF" w:rsidRDefault="00F3692C" w:rsidP="009A48F4">
            <w:pPr>
              <w:jc w:val="center"/>
              <w:rPr>
                <w:rFonts w:ascii="Times New Roman" w:hAnsi="Times New Roman" w:cs="Times New Roman"/>
              </w:rPr>
            </w:pPr>
            <w:r>
              <w:rPr>
                <w:rFonts w:ascii="Times New Roman" w:hAnsi="Times New Roman" w:cs="Times New Roman"/>
              </w:rPr>
              <w:t>6</w:t>
            </w:r>
          </w:p>
        </w:tc>
        <w:tc>
          <w:tcPr>
            <w:tcW w:w="2890" w:type="dxa"/>
            <w:tcBorders>
              <w:top w:val="nil"/>
              <w:left w:val="nil"/>
              <w:bottom w:val="nil"/>
              <w:right w:val="nil"/>
            </w:tcBorders>
          </w:tcPr>
          <w:p w:rsidR="00F3692C" w:rsidRPr="00A840DF" w:rsidRDefault="00F3692C" w:rsidP="009A48F4">
            <w:pPr>
              <w:rPr>
                <w:rFonts w:ascii="Times New Roman" w:hAnsi="Times New Roman" w:cs="Times New Roman"/>
              </w:rPr>
            </w:pPr>
            <w:r w:rsidRPr="00A840DF">
              <w:rPr>
                <w:rFonts w:ascii="Times New Roman" w:hAnsi="Times New Roman" w:cs="Times New Roman"/>
              </w:rPr>
              <w:t>1000, 75400</w:t>
            </w:r>
            <w:r>
              <w:rPr>
                <w:rFonts w:ascii="Times New Roman" w:hAnsi="Times New Roman" w:cs="Times New Roman"/>
              </w:rPr>
              <w:t xml:space="preserve"> </w:t>
            </w:r>
            <w:r w:rsidRPr="00A840DF">
              <w:rPr>
                <w:rFonts w:ascii="Times New Roman" w:hAnsi="Times New Roman" w:cs="Times New Roman"/>
              </w:rPr>
              <w:t>/ 34500</w:t>
            </w:r>
          </w:p>
        </w:tc>
        <w:tc>
          <w:tcPr>
            <w:tcW w:w="891"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50+50</w:t>
            </w:r>
          </w:p>
        </w:tc>
        <w:tc>
          <w:tcPr>
            <w:tcW w:w="1087"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182343.1</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722975.4</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181174.4</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713456.8</w:t>
            </w:r>
          </w:p>
        </w:tc>
        <w:tc>
          <w:tcPr>
            <w:tcW w:w="1087"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181964.9</w:t>
            </w:r>
          </w:p>
        </w:tc>
      </w:tr>
      <w:tr w:rsidR="00F3692C" w:rsidTr="0057152C">
        <w:trPr>
          <w:jc w:val="center"/>
        </w:trPr>
        <w:tc>
          <w:tcPr>
            <w:tcW w:w="354" w:type="dxa"/>
            <w:tcBorders>
              <w:top w:val="nil"/>
              <w:left w:val="nil"/>
              <w:bottom w:val="nil"/>
              <w:right w:val="nil"/>
            </w:tcBorders>
          </w:tcPr>
          <w:p w:rsidR="00F3692C" w:rsidRPr="00A840DF" w:rsidRDefault="00F3692C" w:rsidP="009A48F4">
            <w:pPr>
              <w:jc w:val="center"/>
              <w:rPr>
                <w:rFonts w:ascii="Times New Roman" w:hAnsi="Times New Roman" w:cs="Times New Roman"/>
              </w:rPr>
            </w:pPr>
            <w:r>
              <w:rPr>
                <w:rFonts w:ascii="Times New Roman" w:hAnsi="Times New Roman" w:cs="Times New Roman"/>
              </w:rPr>
              <w:t>7</w:t>
            </w:r>
          </w:p>
        </w:tc>
        <w:tc>
          <w:tcPr>
            <w:tcW w:w="2890" w:type="dxa"/>
            <w:tcBorders>
              <w:top w:val="nil"/>
              <w:left w:val="nil"/>
              <w:bottom w:val="nil"/>
              <w:right w:val="nil"/>
            </w:tcBorders>
          </w:tcPr>
          <w:p w:rsidR="00F3692C" w:rsidRPr="00A840DF" w:rsidRDefault="00F3692C" w:rsidP="009A48F4">
            <w:pPr>
              <w:rPr>
                <w:rFonts w:ascii="Times New Roman" w:hAnsi="Times New Roman" w:cs="Times New Roman"/>
              </w:rPr>
            </w:pPr>
            <w:r w:rsidRPr="00A840DF">
              <w:rPr>
                <w:rFonts w:ascii="Times New Roman" w:hAnsi="Times New Roman" w:cs="Times New Roman"/>
              </w:rPr>
              <w:t>432, 625, 345 / 2350</w:t>
            </w:r>
          </w:p>
        </w:tc>
        <w:tc>
          <w:tcPr>
            <w:tcW w:w="891"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50/50</w:t>
            </w:r>
          </w:p>
        </w:tc>
        <w:tc>
          <w:tcPr>
            <w:tcW w:w="1087"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2695.0</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12829.6</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2702.5</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12760.6</w:t>
            </w:r>
          </w:p>
        </w:tc>
        <w:tc>
          <w:tcPr>
            <w:tcW w:w="1087"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2704.5</w:t>
            </w:r>
          </w:p>
        </w:tc>
      </w:tr>
      <w:tr w:rsidR="00F3692C" w:rsidTr="0057152C">
        <w:trPr>
          <w:jc w:val="center"/>
        </w:trPr>
        <w:tc>
          <w:tcPr>
            <w:tcW w:w="354" w:type="dxa"/>
            <w:tcBorders>
              <w:top w:val="nil"/>
              <w:left w:val="nil"/>
              <w:bottom w:val="nil"/>
              <w:right w:val="nil"/>
            </w:tcBorders>
          </w:tcPr>
          <w:p w:rsidR="00F3692C" w:rsidRPr="00A840DF" w:rsidRDefault="00F3692C" w:rsidP="009A48F4">
            <w:pPr>
              <w:jc w:val="center"/>
              <w:rPr>
                <w:rFonts w:ascii="Times New Roman" w:hAnsi="Times New Roman" w:cs="Times New Roman"/>
              </w:rPr>
            </w:pPr>
            <w:r>
              <w:rPr>
                <w:rFonts w:ascii="Times New Roman" w:hAnsi="Times New Roman" w:cs="Times New Roman"/>
              </w:rPr>
              <w:t>8</w:t>
            </w:r>
          </w:p>
        </w:tc>
        <w:tc>
          <w:tcPr>
            <w:tcW w:w="2890" w:type="dxa"/>
            <w:tcBorders>
              <w:top w:val="nil"/>
              <w:left w:val="nil"/>
              <w:bottom w:val="nil"/>
              <w:right w:val="nil"/>
            </w:tcBorders>
          </w:tcPr>
          <w:p w:rsidR="00F3692C" w:rsidRPr="00A840DF" w:rsidRDefault="00F3692C" w:rsidP="009A48F4">
            <w:pPr>
              <w:rPr>
                <w:rFonts w:ascii="Times New Roman" w:hAnsi="Times New Roman" w:cs="Times New Roman"/>
              </w:rPr>
            </w:pPr>
            <w:r w:rsidRPr="00A840DF">
              <w:rPr>
                <w:rFonts w:ascii="Times New Roman" w:hAnsi="Times New Roman" w:cs="Times New Roman"/>
              </w:rPr>
              <w:t>125, 250, 3450 / 1250</w:t>
            </w:r>
          </w:p>
        </w:tc>
        <w:tc>
          <w:tcPr>
            <w:tcW w:w="891"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50/50</w:t>
            </w:r>
          </w:p>
        </w:tc>
        <w:tc>
          <w:tcPr>
            <w:tcW w:w="1087"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4700.0</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12039.4</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4689.5</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12013.3</w:t>
            </w:r>
          </w:p>
        </w:tc>
        <w:tc>
          <w:tcPr>
            <w:tcW w:w="1087"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4729.6</w:t>
            </w:r>
          </w:p>
        </w:tc>
      </w:tr>
      <w:tr w:rsidR="00F3692C" w:rsidTr="0057152C">
        <w:trPr>
          <w:jc w:val="center"/>
        </w:trPr>
        <w:tc>
          <w:tcPr>
            <w:tcW w:w="354" w:type="dxa"/>
            <w:tcBorders>
              <w:top w:val="nil"/>
              <w:left w:val="nil"/>
              <w:bottom w:val="nil"/>
              <w:right w:val="nil"/>
            </w:tcBorders>
          </w:tcPr>
          <w:p w:rsidR="00F3692C" w:rsidRPr="00A840DF" w:rsidRDefault="00F3692C" w:rsidP="009A48F4">
            <w:pPr>
              <w:jc w:val="center"/>
              <w:rPr>
                <w:rFonts w:ascii="Times New Roman" w:hAnsi="Times New Roman" w:cs="Times New Roman"/>
              </w:rPr>
            </w:pPr>
            <w:r>
              <w:rPr>
                <w:rFonts w:ascii="Times New Roman" w:hAnsi="Times New Roman" w:cs="Times New Roman"/>
              </w:rPr>
              <w:t>9</w:t>
            </w:r>
          </w:p>
        </w:tc>
        <w:tc>
          <w:tcPr>
            <w:tcW w:w="2890" w:type="dxa"/>
            <w:tcBorders>
              <w:top w:val="nil"/>
              <w:left w:val="nil"/>
              <w:bottom w:val="nil"/>
              <w:right w:val="nil"/>
            </w:tcBorders>
          </w:tcPr>
          <w:p w:rsidR="00F3692C" w:rsidRPr="00A840DF" w:rsidRDefault="00F3692C" w:rsidP="009A48F4">
            <w:pPr>
              <w:rPr>
                <w:rFonts w:ascii="Times New Roman" w:hAnsi="Times New Roman" w:cs="Times New Roman"/>
              </w:rPr>
            </w:pPr>
            <w:r w:rsidRPr="00A840DF">
              <w:rPr>
                <w:rFonts w:ascii="Times New Roman" w:hAnsi="Times New Roman" w:cs="Times New Roman"/>
              </w:rPr>
              <w:t>1285, 17500, 6300 / 53500</w:t>
            </w:r>
          </w:p>
        </w:tc>
        <w:tc>
          <w:tcPr>
            <w:tcW w:w="891"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50/50</w:t>
            </w:r>
          </w:p>
        </w:tc>
        <w:tc>
          <w:tcPr>
            <w:tcW w:w="1087"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59800.0</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251816.5</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60157.1</w:t>
            </w:r>
          </w:p>
        </w:tc>
        <w:tc>
          <w:tcPr>
            <w:tcW w:w="1160"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249302.9</w:t>
            </w:r>
          </w:p>
        </w:tc>
        <w:tc>
          <w:tcPr>
            <w:tcW w:w="1087" w:type="dxa"/>
            <w:tcBorders>
              <w:top w:val="nil"/>
              <w:left w:val="nil"/>
              <w:bottom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60133.1</w:t>
            </w:r>
          </w:p>
        </w:tc>
      </w:tr>
      <w:tr w:rsidR="00F3692C" w:rsidTr="0057152C">
        <w:trPr>
          <w:jc w:val="center"/>
        </w:trPr>
        <w:tc>
          <w:tcPr>
            <w:tcW w:w="354" w:type="dxa"/>
            <w:tcBorders>
              <w:top w:val="nil"/>
              <w:left w:val="nil"/>
              <w:right w:val="nil"/>
            </w:tcBorders>
          </w:tcPr>
          <w:p w:rsidR="00F3692C" w:rsidRPr="00A840DF" w:rsidRDefault="00F3692C" w:rsidP="009A48F4">
            <w:pPr>
              <w:jc w:val="center"/>
              <w:rPr>
                <w:rFonts w:ascii="Times New Roman" w:hAnsi="Times New Roman" w:cs="Times New Roman"/>
              </w:rPr>
            </w:pPr>
            <w:r>
              <w:rPr>
                <w:rFonts w:ascii="Times New Roman" w:hAnsi="Times New Roman" w:cs="Times New Roman"/>
              </w:rPr>
              <w:t>10</w:t>
            </w:r>
          </w:p>
        </w:tc>
        <w:tc>
          <w:tcPr>
            <w:tcW w:w="2890" w:type="dxa"/>
            <w:tcBorders>
              <w:top w:val="nil"/>
              <w:left w:val="nil"/>
              <w:right w:val="nil"/>
            </w:tcBorders>
          </w:tcPr>
          <w:p w:rsidR="00F3692C" w:rsidRPr="00A840DF" w:rsidRDefault="00F3692C" w:rsidP="009A48F4">
            <w:pPr>
              <w:rPr>
                <w:rFonts w:ascii="Times New Roman" w:hAnsi="Times New Roman" w:cs="Times New Roman"/>
              </w:rPr>
            </w:pPr>
            <w:r w:rsidRPr="00A840DF">
              <w:rPr>
                <w:rFonts w:ascii="Times New Roman" w:hAnsi="Times New Roman" w:cs="Times New Roman"/>
              </w:rPr>
              <w:t>15800, 27500, 42000 / 71000</w:t>
            </w:r>
          </w:p>
        </w:tc>
        <w:tc>
          <w:tcPr>
            <w:tcW w:w="891" w:type="dxa"/>
            <w:tcBorders>
              <w:top w:val="nil"/>
              <w:left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50/50</w:t>
            </w:r>
          </w:p>
        </w:tc>
        <w:tc>
          <w:tcPr>
            <w:tcW w:w="1087" w:type="dxa"/>
            <w:tcBorders>
              <w:top w:val="nil"/>
              <w:left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113000.0</w:t>
            </w:r>
          </w:p>
        </w:tc>
        <w:tc>
          <w:tcPr>
            <w:tcW w:w="1160" w:type="dxa"/>
            <w:tcBorders>
              <w:top w:val="nil"/>
              <w:left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530763.2</w:t>
            </w:r>
          </w:p>
        </w:tc>
        <w:tc>
          <w:tcPr>
            <w:tcW w:w="1160" w:type="dxa"/>
            <w:tcBorders>
              <w:top w:val="nil"/>
              <w:left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116735.3</w:t>
            </w:r>
          </w:p>
        </w:tc>
        <w:tc>
          <w:tcPr>
            <w:tcW w:w="1160" w:type="dxa"/>
            <w:tcBorders>
              <w:top w:val="nil"/>
              <w:left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532953.0</w:t>
            </w:r>
          </w:p>
        </w:tc>
        <w:tc>
          <w:tcPr>
            <w:tcW w:w="1087" w:type="dxa"/>
            <w:tcBorders>
              <w:top w:val="nil"/>
              <w:left w:val="nil"/>
              <w:right w:val="nil"/>
            </w:tcBorders>
          </w:tcPr>
          <w:p w:rsidR="00F3692C" w:rsidRPr="00A840DF" w:rsidRDefault="00F3692C" w:rsidP="009A48F4">
            <w:pPr>
              <w:jc w:val="center"/>
              <w:rPr>
                <w:rFonts w:ascii="Times New Roman" w:hAnsi="Times New Roman" w:cs="Times New Roman"/>
              </w:rPr>
            </w:pPr>
            <w:r w:rsidRPr="00A840DF">
              <w:rPr>
                <w:rFonts w:ascii="Times New Roman" w:hAnsi="Times New Roman" w:cs="Times New Roman"/>
              </w:rPr>
              <w:t>116117.1</w:t>
            </w:r>
          </w:p>
        </w:tc>
      </w:tr>
    </w:tbl>
    <w:p w:rsidR="00F3692C" w:rsidRDefault="00F3692C" w:rsidP="006C4CEB">
      <w:pPr>
        <w:spacing w:after="200" w:line="276" w:lineRule="auto"/>
      </w:pPr>
    </w:p>
    <w:p w:rsidR="00F3692C" w:rsidRDefault="00F3692C" w:rsidP="006C4CEB">
      <w:pPr>
        <w:spacing w:after="200" w:line="276" w:lineRule="auto"/>
      </w:pPr>
    </w:p>
    <w:p w:rsidR="00F3692C" w:rsidRDefault="00F3692C" w:rsidP="006C4CEB">
      <w:pPr>
        <w:spacing w:after="200" w:line="276" w:lineRule="auto"/>
      </w:pPr>
    </w:p>
    <w:p w:rsidR="00F3692C" w:rsidRDefault="00F3692C" w:rsidP="006C4CEB">
      <w:pPr>
        <w:spacing w:after="200" w:line="276" w:lineRule="auto"/>
      </w:pPr>
    </w:p>
    <w:sectPr w:rsidR="00F3692C" w:rsidSect="0005543D">
      <w:footerReference w:type="default" r:id="rId8"/>
      <w:footerReference w:type="first" r:id="rId9"/>
      <w:type w:val="continuous"/>
      <w:pgSz w:w="11906" w:h="16838" w:code="9"/>
      <w:pgMar w:top="1418" w:right="851" w:bottom="1418" w:left="851" w:header="652"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418" w:rsidRDefault="00664418" w:rsidP="0045484A">
      <w:r>
        <w:separator/>
      </w:r>
    </w:p>
  </w:endnote>
  <w:endnote w:type="continuationSeparator" w:id="0">
    <w:p w:rsidR="00664418" w:rsidRDefault="00664418" w:rsidP="00454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D9" w:rsidRPr="00427338" w:rsidRDefault="00DC70D9" w:rsidP="00427338">
    <w:pPr>
      <w:pStyle w:val="Piedepgina"/>
      <w:jc w:val="right"/>
      <w:rPr>
        <w:lang w:val="sv-S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0D9" w:rsidRDefault="00DC70D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418" w:rsidRDefault="00664418" w:rsidP="0045484A">
      <w:r>
        <w:separator/>
      </w:r>
    </w:p>
  </w:footnote>
  <w:footnote w:type="continuationSeparator" w:id="0">
    <w:p w:rsidR="00664418" w:rsidRDefault="00664418" w:rsidP="00454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50012"/>
    <w:multiLevelType w:val="hybridMultilevel"/>
    <w:tmpl w:val="B7C82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A852D5"/>
    <w:multiLevelType w:val="multilevel"/>
    <w:tmpl w:val="ADE0D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FA30BD5"/>
    <w:multiLevelType w:val="multilevel"/>
    <w:tmpl w:val="30A6C310"/>
    <w:lvl w:ilvl="0">
      <w:start w:val="1"/>
      <w:numFmt w:val="decimal"/>
      <w:lvlText w:val="%1."/>
      <w:lvlJc w:val="left"/>
      <w:pPr>
        <w:ind w:left="360" w:hanging="360"/>
      </w:pPr>
      <w:rPr>
        <w:rFonts w:asciiTheme="minorHAnsi" w:hAnsiTheme="minorHAnsi" w:cstheme="minorHAnsi"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4C754A2"/>
    <w:multiLevelType w:val="multilevel"/>
    <w:tmpl w:val="67BAB6F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A3E7EE7"/>
    <w:multiLevelType w:val="multilevel"/>
    <w:tmpl w:val="ADE0D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20482"/>
  </w:hdrShapeDefaults>
  <w:footnotePr>
    <w:footnote w:id="-1"/>
    <w:footnote w:id="0"/>
  </w:footnotePr>
  <w:endnotePr>
    <w:endnote w:id="-1"/>
    <w:endnote w:id="0"/>
  </w:endnotePr>
  <w:compat/>
  <w:rsids>
    <w:rsidRoot w:val="006C4CEB"/>
    <w:rsid w:val="00001A03"/>
    <w:rsid w:val="0000284D"/>
    <w:rsid w:val="000077EB"/>
    <w:rsid w:val="00037B73"/>
    <w:rsid w:val="0005543D"/>
    <w:rsid w:val="0006281D"/>
    <w:rsid w:val="00071DBC"/>
    <w:rsid w:val="00086121"/>
    <w:rsid w:val="00093CF8"/>
    <w:rsid w:val="00094B6A"/>
    <w:rsid w:val="000A6BF9"/>
    <w:rsid w:val="000E06FE"/>
    <w:rsid w:val="000E4633"/>
    <w:rsid w:val="00102BE5"/>
    <w:rsid w:val="00111DF3"/>
    <w:rsid w:val="0016139D"/>
    <w:rsid w:val="001767B1"/>
    <w:rsid w:val="00184B18"/>
    <w:rsid w:val="001A03ED"/>
    <w:rsid w:val="001C189A"/>
    <w:rsid w:val="001D22AB"/>
    <w:rsid w:val="001D6222"/>
    <w:rsid w:val="001E1F89"/>
    <w:rsid w:val="00246D30"/>
    <w:rsid w:val="00272C20"/>
    <w:rsid w:val="00291344"/>
    <w:rsid w:val="00297A60"/>
    <w:rsid w:val="002A2CAE"/>
    <w:rsid w:val="002C1398"/>
    <w:rsid w:val="002D3830"/>
    <w:rsid w:val="002E2E0F"/>
    <w:rsid w:val="002E68AE"/>
    <w:rsid w:val="0030210C"/>
    <w:rsid w:val="00310965"/>
    <w:rsid w:val="00313072"/>
    <w:rsid w:val="00313A54"/>
    <w:rsid w:val="00340394"/>
    <w:rsid w:val="00357EE3"/>
    <w:rsid w:val="00361394"/>
    <w:rsid w:val="0036669A"/>
    <w:rsid w:val="00377347"/>
    <w:rsid w:val="00383DC4"/>
    <w:rsid w:val="00387704"/>
    <w:rsid w:val="003C6F60"/>
    <w:rsid w:val="003D5349"/>
    <w:rsid w:val="003E5A7A"/>
    <w:rsid w:val="003F2B2C"/>
    <w:rsid w:val="003F43C3"/>
    <w:rsid w:val="003F4579"/>
    <w:rsid w:val="004031C3"/>
    <w:rsid w:val="00413CD9"/>
    <w:rsid w:val="0042181E"/>
    <w:rsid w:val="00423675"/>
    <w:rsid w:val="004260A1"/>
    <w:rsid w:val="00427338"/>
    <w:rsid w:val="00431FD7"/>
    <w:rsid w:val="0045484A"/>
    <w:rsid w:val="004555C5"/>
    <w:rsid w:val="00457471"/>
    <w:rsid w:val="0047623E"/>
    <w:rsid w:val="00476BC5"/>
    <w:rsid w:val="004A28E4"/>
    <w:rsid w:val="004A6435"/>
    <w:rsid w:val="004C3C65"/>
    <w:rsid w:val="004D3768"/>
    <w:rsid w:val="004E0D4A"/>
    <w:rsid w:val="004F2030"/>
    <w:rsid w:val="004F29D8"/>
    <w:rsid w:val="00506CF7"/>
    <w:rsid w:val="0053585E"/>
    <w:rsid w:val="00557094"/>
    <w:rsid w:val="0057152C"/>
    <w:rsid w:val="005744FE"/>
    <w:rsid w:val="00582B0D"/>
    <w:rsid w:val="00583535"/>
    <w:rsid w:val="005907E8"/>
    <w:rsid w:val="005A0D06"/>
    <w:rsid w:val="005C0693"/>
    <w:rsid w:val="005C3552"/>
    <w:rsid w:val="005E2CE6"/>
    <w:rsid w:val="005E2D76"/>
    <w:rsid w:val="005E4261"/>
    <w:rsid w:val="005E6C60"/>
    <w:rsid w:val="00627549"/>
    <w:rsid w:val="006350A5"/>
    <w:rsid w:val="006358E3"/>
    <w:rsid w:val="006551C0"/>
    <w:rsid w:val="0065680F"/>
    <w:rsid w:val="00664418"/>
    <w:rsid w:val="0069603E"/>
    <w:rsid w:val="006A2378"/>
    <w:rsid w:val="006A4B5D"/>
    <w:rsid w:val="006A6124"/>
    <w:rsid w:val="006B544A"/>
    <w:rsid w:val="006B7AFC"/>
    <w:rsid w:val="006C1F83"/>
    <w:rsid w:val="006C4CEB"/>
    <w:rsid w:val="006C57CE"/>
    <w:rsid w:val="006D0158"/>
    <w:rsid w:val="006D14C5"/>
    <w:rsid w:val="00715232"/>
    <w:rsid w:val="00731270"/>
    <w:rsid w:val="007456BC"/>
    <w:rsid w:val="00755A81"/>
    <w:rsid w:val="0076100B"/>
    <w:rsid w:val="0076611B"/>
    <w:rsid w:val="007919DE"/>
    <w:rsid w:val="0079443A"/>
    <w:rsid w:val="007C22E4"/>
    <w:rsid w:val="007C73D6"/>
    <w:rsid w:val="007D46CC"/>
    <w:rsid w:val="007D5842"/>
    <w:rsid w:val="007D6E1F"/>
    <w:rsid w:val="007E4854"/>
    <w:rsid w:val="007F57EA"/>
    <w:rsid w:val="008261F4"/>
    <w:rsid w:val="0084002A"/>
    <w:rsid w:val="00854872"/>
    <w:rsid w:val="008672DC"/>
    <w:rsid w:val="008703FE"/>
    <w:rsid w:val="00886C9F"/>
    <w:rsid w:val="008900F7"/>
    <w:rsid w:val="00896F77"/>
    <w:rsid w:val="008A47B7"/>
    <w:rsid w:val="008C49B2"/>
    <w:rsid w:val="008C4EA8"/>
    <w:rsid w:val="008D51D7"/>
    <w:rsid w:val="008E50F0"/>
    <w:rsid w:val="008E65CF"/>
    <w:rsid w:val="009254DC"/>
    <w:rsid w:val="00930F85"/>
    <w:rsid w:val="00952381"/>
    <w:rsid w:val="00956C11"/>
    <w:rsid w:val="00960702"/>
    <w:rsid w:val="00970A95"/>
    <w:rsid w:val="00975B6B"/>
    <w:rsid w:val="0099117C"/>
    <w:rsid w:val="00996489"/>
    <w:rsid w:val="009A48F4"/>
    <w:rsid w:val="009E3620"/>
    <w:rsid w:val="009F2CC7"/>
    <w:rsid w:val="009F6A4F"/>
    <w:rsid w:val="00A1234C"/>
    <w:rsid w:val="00A14E2F"/>
    <w:rsid w:val="00A217B6"/>
    <w:rsid w:val="00A24AF1"/>
    <w:rsid w:val="00A5124E"/>
    <w:rsid w:val="00A541DD"/>
    <w:rsid w:val="00A77385"/>
    <w:rsid w:val="00A82FAF"/>
    <w:rsid w:val="00AA3ABA"/>
    <w:rsid w:val="00AC3DE3"/>
    <w:rsid w:val="00AC6B05"/>
    <w:rsid w:val="00AD4587"/>
    <w:rsid w:val="00AE1B55"/>
    <w:rsid w:val="00AE44B9"/>
    <w:rsid w:val="00AF3D41"/>
    <w:rsid w:val="00AF5D74"/>
    <w:rsid w:val="00B0099E"/>
    <w:rsid w:val="00B22F02"/>
    <w:rsid w:val="00B45C50"/>
    <w:rsid w:val="00B510C4"/>
    <w:rsid w:val="00B56ABF"/>
    <w:rsid w:val="00B603B8"/>
    <w:rsid w:val="00B73B67"/>
    <w:rsid w:val="00B76B19"/>
    <w:rsid w:val="00BA552D"/>
    <w:rsid w:val="00BD4C68"/>
    <w:rsid w:val="00BE2C75"/>
    <w:rsid w:val="00BF1D9E"/>
    <w:rsid w:val="00C05224"/>
    <w:rsid w:val="00C10B42"/>
    <w:rsid w:val="00C131CA"/>
    <w:rsid w:val="00C2791C"/>
    <w:rsid w:val="00C65B7F"/>
    <w:rsid w:val="00C83ACB"/>
    <w:rsid w:val="00C975CB"/>
    <w:rsid w:val="00CC2117"/>
    <w:rsid w:val="00CD23B8"/>
    <w:rsid w:val="00CF4135"/>
    <w:rsid w:val="00D1510E"/>
    <w:rsid w:val="00D17B4E"/>
    <w:rsid w:val="00D2321A"/>
    <w:rsid w:val="00D23F61"/>
    <w:rsid w:val="00D245E7"/>
    <w:rsid w:val="00D3028C"/>
    <w:rsid w:val="00D36B2E"/>
    <w:rsid w:val="00D37A2C"/>
    <w:rsid w:val="00D5747C"/>
    <w:rsid w:val="00D654E2"/>
    <w:rsid w:val="00D67133"/>
    <w:rsid w:val="00D777D3"/>
    <w:rsid w:val="00DA385F"/>
    <w:rsid w:val="00DC2C3C"/>
    <w:rsid w:val="00DC70D9"/>
    <w:rsid w:val="00DD04A8"/>
    <w:rsid w:val="00DD7A79"/>
    <w:rsid w:val="00DE5193"/>
    <w:rsid w:val="00DE68BA"/>
    <w:rsid w:val="00E122F7"/>
    <w:rsid w:val="00E25E83"/>
    <w:rsid w:val="00E312B1"/>
    <w:rsid w:val="00E54869"/>
    <w:rsid w:val="00E62FEE"/>
    <w:rsid w:val="00E645C3"/>
    <w:rsid w:val="00E77CCC"/>
    <w:rsid w:val="00E8704E"/>
    <w:rsid w:val="00EB1980"/>
    <w:rsid w:val="00EC4D3D"/>
    <w:rsid w:val="00EC6DE1"/>
    <w:rsid w:val="00EE0E27"/>
    <w:rsid w:val="00EF4350"/>
    <w:rsid w:val="00F113AB"/>
    <w:rsid w:val="00F15EEE"/>
    <w:rsid w:val="00F31BFE"/>
    <w:rsid w:val="00F3372E"/>
    <w:rsid w:val="00F3692C"/>
    <w:rsid w:val="00F473F7"/>
    <w:rsid w:val="00F50278"/>
    <w:rsid w:val="00F55B26"/>
    <w:rsid w:val="00F64E98"/>
    <w:rsid w:val="00F76C9C"/>
    <w:rsid w:val="00F8165A"/>
    <w:rsid w:val="00F877F3"/>
    <w:rsid w:val="00F963AA"/>
    <w:rsid w:val="00FA2199"/>
    <w:rsid w:val="00FC0B09"/>
    <w:rsid w:val="00FC3CFD"/>
    <w:rsid w:val="00FD67DF"/>
    <w:rsid w:val="00FE266E"/>
    <w:rsid w:val="00FE3109"/>
    <w:rsid w:val="00FE7E9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68BA"/>
    <w:pPr>
      <w:spacing w:after="0" w:line="240" w:lineRule="auto"/>
    </w:pPr>
    <w:rPr>
      <w:lang w:val="en-GB"/>
    </w:rPr>
  </w:style>
  <w:style w:type="paragraph" w:styleId="Ttulo1">
    <w:name w:val="heading 1"/>
    <w:basedOn w:val="Normal"/>
    <w:next w:val="Normal"/>
    <w:link w:val="Ttulo1Car"/>
    <w:uiPriority w:val="9"/>
    <w:qFormat/>
    <w:rsid w:val="00DE68BA"/>
    <w:pPr>
      <w:keepNext/>
      <w:keepLines/>
      <w:spacing w:before="360" w:after="120"/>
      <w:outlineLvl w:val="0"/>
    </w:pPr>
    <w:rPr>
      <w:rFonts w:asciiTheme="majorHAnsi" w:eastAsiaTheme="majorEastAsia" w:hAnsiTheme="majorHAnsi" w:cstheme="majorBidi"/>
      <w:b/>
      <w:bCs/>
      <w:sz w:val="26"/>
      <w:szCs w:val="28"/>
    </w:rPr>
  </w:style>
  <w:style w:type="paragraph" w:styleId="Ttulo2">
    <w:name w:val="heading 2"/>
    <w:basedOn w:val="Normal"/>
    <w:next w:val="Normal"/>
    <w:link w:val="Ttulo2Car"/>
    <w:uiPriority w:val="9"/>
    <w:unhideWhenUsed/>
    <w:qFormat/>
    <w:rsid w:val="00DE68BA"/>
    <w:pPr>
      <w:keepNext/>
      <w:keepLines/>
      <w:spacing w:before="200" w:after="120"/>
      <w:outlineLvl w:val="1"/>
    </w:pPr>
    <w:rPr>
      <w:rFonts w:asciiTheme="majorHAnsi" w:eastAsiaTheme="majorEastAsia" w:hAnsiTheme="majorHAnsi" w:cstheme="majorBidi"/>
      <w:b/>
      <w:bCs/>
      <w:sz w:val="24"/>
      <w:szCs w:val="26"/>
    </w:rPr>
  </w:style>
  <w:style w:type="paragraph" w:styleId="Ttulo3">
    <w:name w:val="heading 3"/>
    <w:basedOn w:val="Normal"/>
    <w:next w:val="Normal"/>
    <w:link w:val="Ttulo3Car"/>
    <w:uiPriority w:val="9"/>
    <w:unhideWhenUsed/>
    <w:qFormat/>
    <w:rsid w:val="004A28E4"/>
    <w:pPr>
      <w:keepNext/>
      <w:keepLines/>
      <w:spacing w:before="200" w:after="60"/>
      <w:outlineLvl w:val="2"/>
    </w:pPr>
    <w:rPr>
      <w:rFonts w:asciiTheme="majorHAnsi" w:eastAsiaTheme="majorEastAsia" w:hAnsiTheme="majorHAnsi" w:cstheme="majorBidi"/>
      <w:b/>
      <w:bCs/>
      <w:sz w:val="20"/>
    </w:rPr>
  </w:style>
  <w:style w:type="paragraph" w:styleId="Ttulo4">
    <w:name w:val="heading 4"/>
    <w:basedOn w:val="Normal"/>
    <w:next w:val="Normal"/>
    <w:link w:val="Ttulo4Car"/>
    <w:uiPriority w:val="9"/>
    <w:unhideWhenUsed/>
    <w:qFormat/>
    <w:rsid w:val="00DE68BA"/>
    <w:pPr>
      <w:keepNext/>
      <w:keepLines/>
      <w:spacing w:before="120" w:after="60"/>
      <w:outlineLvl w:val="3"/>
    </w:pPr>
    <w:rPr>
      <w:rFonts w:asciiTheme="majorHAnsi" w:eastAsiaTheme="majorEastAsia" w:hAnsiTheme="majorHAnsi" w:cstheme="majorBidi"/>
      <w:bCs/>
      <w:i/>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68BA"/>
    <w:rPr>
      <w:rFonts w:asciiTheme="majorHAnsi" w:eastAsiaTheme="majorEastAsia" w:hAnsiTheme="majorHAnsi" w:cstheme="majorBidi"/>
      <w:b/>
      <w:bCs/>
      <w:sz w:val="26"/>
      <w:szCs w:val="28"/>
    </w:rPr>
  </w:style>
  <w:style w:type="character" w:customStyle="1" w:styleId="Ttulo2Car">
    <w:name w:val="Título 2 Car"/>
    <w:basedOn w:val="Fuentedeprrafopredeter"/>
    <w:link w:val="Ttulo2"/>
    <w:uiPriority w:val="9"/>
    <w:rsid w:val="00DE68BA"/>
    <w:rPr>
      <w:rFonts w:asciiTheme="majorHAnsi" w:eastAsiaTheme="majorEastAsia" w:hAnsiTheme="majorHAnsi" w:cstheme="majorBidi"/>
      <w:b/>
      <w:bCs/>
      <w:sz w:val="24"/>
      <w:szCs w:val="26"/>
    </w:rPr>
  </w:style>
  <w:style w:type="character" w:customStyle="1" w:styleId="Ttulo3Car">
    <w:name w:val="Título 3 Car"/>
    <w:basedOn w:val="Fuentedeprrafopredeter"/>
    <w:link w:val="Ttulo3"/>
    <w:uiPriority w:val="9"/>
    <w:rsid w:val="004A28E4"/>
    <w:rPr>
      <w:rFonts w:asciiTheme="majorHAnsi" w:eastAsiaTheme="majorEastAsia" w:hAnsiTheme="majorHAnsi" w:cstheme="majorBidi"/>
      <w:b/>
      <w:bCs/>
      <w:sz w:val="20"/>
    </w:rPr>
  </w:style>
  <w:style w:type="character" w:customStyle="1" w:styleId="Ttulo4Car">
    <w:name w:val="Título 4 Car"/>
    <w:basedOn w:val="Fuentedeprrafopredeter"/>
    <w:link w:val="Ttulo4"/>
    <w:uiPriority w:val="9"/>
    <w:rsid w:val="00DE68BA"/>
    <w:rPr>
      <w:rFonts w:asciiTheme="majorHAnsi" w:eastAsiaTheme="majorEastAsia" w:hAnsiTheme="majorHAnsi" w:cstheme="majorBidi"/>
      <w:bCs/>
      <w:i/>
      <w:iCs/>
      <w:sz w:val="20"/>
    </w:rPr>
  </w:style>
  <w:style w:type="paragraph" w:styleId="Encabezado">
    <w:name w:val="header"/>
    <w:basedOn w:val="Normal"/>
    <w:link w:val="EncabezadoCar"/>
    <w:uiPriority w:val="99"/>
    <w:unhideWhenUsed/>
    <w:rsid w:val="0045484A"/>
    <w:pPr>
      <w:tabs>
        <w:tab w:val="center" w:pos="4536"/>
        <w:tab w:val="right" w:pos="9072"/>
      </w:tabs>
    </w:pPr>
  </w:style>
  <w:style w:type="character" w:customStyle="1" w:styleId="EncabezadoCar">
    <w:name w:val="Encabezado Car"/>
    <w:basedOn w:val="Fuentedeprrafopredeter"/>
    <w:link w:val="Encabezado"/>
    <w:uiPriority w:val="99"/>
    <w:rsid w:val="0045484A"/>
  </w:style>
  <w:style w:type="paragraph" w:styleId="Piedepgina">
    <w:name w:val="footer"/>
    <w:basedOn w:val="Normal"/>
    <w:link w:val="PiedepginaCar"/>
    <w:uiPriority w:val="99"/>
    <w:unhideWhenUsed/>
    <w:rsid w:val="0045484A"/>
    <w:pPr>
      <w:tabs>
        <w:tab w:val="center" w:pos="4536"/>
        <w:tab w:val="right" w:pos="9072"/>
      </w:tabs>
    </w:pPr>
  </w:style>
  <w:style w:type="character" w:customStyle="1" w:styleId="PiedepginaCar">
    <w:name w:val="Pie de página Car"/>
    <w:basedOn w:val="Fuentedeprrafopredeter"/>
    <w:link w:val="Piedepgina"/>
    <w:uiPriority w:val="99"/>
    <w:rsid w:val="0045484A"/>
  </w:style>
  <w:style w:type="paragraph" w:styleId="Textodeglobo">
    <w:name w:val="Balloon Text"/>
    <w:basedOn w:val="Normal"/>
    <w:link w:val="TextodegloboCar"/>
    <w:uiPriority w:val="99"/>
    <w:semiHidden/>
    <w:unhideWhenUsed/>
    <w:rsid w:val="009254DC"/>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4DC"/>
    <w:rPr>
      <w:rFonts w:ascii="Tahoma" w:hAnsi="Tahoma" w:cs="Tahoma"/>
      <w:sz w:val="16"/>
      <w:szCs w:val="16"/>
    </w:rPr>
  </w:style>
  <w:style w:type="paragraph" w:styleId="Prrafodelista">
    <w:name w:val="List Paragraph"/>
    <w:basedOn w:val="Normal"/>
    <w:uiPriority w:val="34"/>
    <w:qFormat/>
    <w:rsid w:val="006C4CEB"/>
    <w:pPr>
      <w:ind w:left="720"/>
      <w:contextualSpacing/>
    </w:pPr>
  </w:style>
  <w:style w:type="table" w:styleId="Tablaconcuadrcula">
    <w:name w:val="Table Grid"/>
    <w:basedOn w:val="Tablanormal"/>
    <w:uiPriority w:val="59"/>
    <w:rsid w:val="0005543D"/>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55A81"/>
    <w:rPr>
      <w:sz w:val="16"/>
      <w:szCs w:val="16"/>
    </w:rPr>
  </w:style>
  <w:style w:type="paragraph" w:styleId="Textocomentario">
    <w:name w:val="annotation text"/>
    <w:basedOn w:val="Normal"/>
    <w:link w:val="TextocomentarioCar"/>
    <w:uiPriority w:val="99"/>
    <w:semiHidden/>
    <w:unhideWhenUsed/>
    <w:rsid w:val="00755A81"/>
    <w:rPr>
      <w:sz w:val="20"/>
      <w:szCs w:val="20"/>
    </w:rPr>
  </w:style>
  <w:style w:type="character" w:customStyle="1" w:styleId="TextocomentarioCar">
    <w:name w:val="Texto comentario Car"/>
    <w:basedOn w:val="Fuentedeprrafopredeter"/>
    <w:link w:val="Textocomentario"/>
    <w:uiPriority w:val="99"/>
    <w:semiHidden/>
    <w:rsid w:val="00755A81"/>
    <w:rPr>
      <w:sz w:val="20"/>
      <w:szCs w:val="20"/>
      <w:lang w:val="en-GB"/>
    </w:rPr>
  </w:style>
  <w:style w:type="paragraph" w:styleId="Asuntodelcomentario">
    <w:name w:val="annotation subject"/>
    <w:basedOn w:val="Textocomentario"/>
    <w:next w:val="Textocomentario"/>
    <w:link w:val="AsuntodelcomentarioCar"/>
    <w:uiPriority w:val="99"/>
    <w:semiHidden/>
    <w:unhideWhenUsed/>
    <w:rsid w:val="00755A81"/>
    <w:rPr>
      <w:b/>
      <w:bCs/>
    </w:rPr>
  </w:style>
  <w:style w:type="character" w:customStyle="1" w:styleId="AsuntodelcomentarioCar">
    <w:name w:val="Asunto del comentario Car"/>
    <w:basedOn w:val="TextocomentarioCar"/>
    <w:link w:val="Asuntodelcomentario"/>
    <w:uiPriority w:val="99"/>
    <w:semiHidden/>
    <w:rsid w:val="00755A81"/>
    <w:rPr>
      <w:b/>
      <w:bCs/>
      <w:sz w:val="20"/>
      <w:szCs w:val="20"/>
      <w:lang w:val="en-GB"/>
    </w:rPr>
  </w:style>
  <w:style w:type="table" w:customStyle="1" w:styleId="Sombreadoclaro1">
    <w:name w:val="Sombreado claro1"/>
    <w:basedOn w:val="Tablanormal"/>
    <w:uiPriority w:val="60"/>
    <w:rsid w:val="008D51D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ipervnculo">
    <w:name w:val="Hyperlink"/>
    <w:rsid w:val="005C355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E68BA"/>
    <w:pPr>
      <w:spacing w:after="0" w:line="240" w:lineRule="auto"/>
    </w:pPr>
    <w:rPr>
      <w:lang w:val="en-GB"/>
    </w:rPr>
  </w:style>
  <w:style w:type="paragraph" w:styleId="Heading1">
    <w:name w:val="heading 1"/>
    <w:basedOn w:val="Normal"/>
    <w:next w:val="Normal"/>
    <w:link w:val="Heading1Char"/>
    <w:uiPriority w:val="9"/>
    <w:qFormat/>
    <w:rsid w:val="00DE68BA"/>
    <w:pPr>
      <w:keepNext/>
      <w:keepLines/>
      <w:spacing w:before="360" w:after="120"/>
      <w:outlineLvl w:val="0"/>
    </w:pPr>
    <w:rPr>
      <w:rFonts w:asciiTheme="majorHAnsi" w:eastAsiaTheme="majorEastAsia" w:hAnsiTheme="majorHAnsi" w:cstheme="majorBidi"/>
      <w:b/>
      <w:bCs/>
      <w:sz w:val="26"/>
      <w:szCs w:val="28"/>
    </w:rPr>
  </w:style>
  <w:style w:type="paragraph" w:styleId="Heading2">
    <w:name w:val="heading 2"/>
    <w:basedOn w:val="Normal"/>
    <w:next w:val="Normal"/>
    <w:link w:val="Heading2Char"/>
    <w:uiPriority w:val="9"/>
    <w:unhideWhenUsed/>
    <w:qFormat/>
    <w:rsid w:val="00DE68BA"/>
    <w:pPr>
      <w:keepNext/>
      <w:keepLines/>
      <w:spacing w:before="200" w:after="12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4A28E4"/>
    <w:pPr>
      <w:keepNext/>
      <w:keepLines/>
      <w:spacing w:before="200" w:after="60"/>
      <w:outlineLvl w:val="2"/>
    </w:pPr>
    <w:rPr>
      <w:rFonts w:asciiTheme="majorHAnsi" w:eastAsiaTheme="majorEastAsia" w:hAnsiTheme="majorHAnsi" w:cstheme="majorBidi"/>
      <w:b/>
      <w:bCs/>
      <w:sz w:val="20"/>
    </w:rPr>
  </w:style>
  <w:style w:type="paragraph" w:styleId="Heading4">
    <w:name w:val="heading 4"/>
    <w:basedOn w:val="Normal"/>
    <w:next w:val="Normal"/>
    <w:link w:val="Heading4Char"/>
    <w:uiPriority w:val="9"/>
    <w:unhideWhenUsed/>
    <w:qFormat/>
    <w:rsid w:val="00DE68BA"/>
    <w:pPr>
      <w:keepNext/>
      <w:keepLines/>
      <w:spacing w:before="120" w:after="60"/>
      <w:outlineLvl w:val="3"/>
    </w:pPr>
    <w:rPr>
      <w:rFonts w:asciiTheme="majorHAnsi" w:eastAsiaTheme="majorEastAsia" w:hAnsiTheme="majorHAnsi" w:cstheme="majorBidi"/>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68BA"/>
    <w:rPr>
      <w:rFonts w:asciiTheme="majorHAnsi" w:eastAsiaTheme="majorEastAsia" w:hAnsiTheme="majorHAnsi" w:cstheme="majorBidi"/>
      <w:b/>
      <w:bCs/>
      <w:sz w:val="26"/>
      <w:szCs w:val="28"/>
    </w:rPr>
  </w:style>
  <w:style w:type="character" w:customStyle="1" w:styleId="Heading2Char">
    <w:name w:val="Heading 2 Char"/>
    <w:basedOn w:val="DefaultParagraphFont"/>
    <w:link w:val="Heading2"/>
    <w:uiPriority w:val="9"/>
    <w:rsid w:val="00DE68BA"/>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4A28E4"/>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DE68BA"/>
    <w:rPr>
      <w:rFonts w:asciiTheme="majorHAnsi" w:eastAsiaTheme="majorEastAsia" w:hAnsiTheme="majorHAnsi" w:cstheme="majorBidi"/>
      <w:bCs/>
      <w:i/>
      <w:iCs/>
      <w:sz w:val="20"/>
    </w:rPr>
  </w:style>
  <w:style w:type="paragraph" w:styleId="Header">
    <w:name w:val="header"/>
    <w:basedOn w:val="Normal"/>
    <w:link w:val="HeaderChar"/>
    <w:uiPriority w:val="99"/>
    <w:unhideWhenUsed/>
    <w:rsid w:val="0045484A"/>
    <w:pPr>
      <w:tabs>
        <w:tab w:val="center" w:pos="4536"/>
        <w:tab w:val="right" w:pos="9072"/>
      </w:tabs>
    </w:pPr>
  </w:style>
  <w:style w:type="character" w:customStyle="1" w:styleId="HeaderChar">
    <w:name w:val="Header Char"/>
    <w:basedOn w:val="DefaultParagraphFont"/>
    <w:link w:val="Header"/>
    <w:uiPriority w:val="99"/>
    <w:rsid w:val="0045484A"/>
  </w:style>
  <w:style w:type="paragraph" w:styleId="Footer">
    <w:name w:val="footer"/>
    <w:basedOn w:val="Normal"/>
    <w:link w:val="FooterChar"/>
    <w:uiPriority w:val="99"/>
    <w:unhideWhenUsed/>
    <w:rsid w:val="0045484A"/>
    <w:pPr>
      <w:tabs>
        <w:tab w:val="center" w:pos="4536"/>
        <w:tab w:val="right" w:pos="9072"/>
      </w:tabs>
    </w:pPr>
  </w:style>
  <w:style w:type="character" w:customStyle="1" w:styleId="FooterChar">
    <w:name w:val="Footer Char"/>
    <w:basedOn w:val="DefaultParagraphFont"/>
    <w:link w:val="Footer"/>
    <w:uiPriority w:val="99"/>
    <w:rsid w:val="0045484A"/>
  </w:style>
  <w:style w:type="paragraph" w:styleId="BalloonText">
    <w:name w:val="Balloon Text"/>
    <w:basedOn w:val="Normal"/>
    <w:link w:val="BalloonTextChar"/>
    <w:uiPriority w:val="99"/>
    <w:semiHidden/>
    <w:unhideWhenUsed/>
    <w:rsid w:val="009254DC"/>
    <w:rPr>
      <w:rFonts w:ascii="Tahoma" w:hAnsi="Tahoma" w:cs="Tahoma"/>
      <w:sz w:val="16"/>
      <w:szCs w:val="16"/>
    </w:rPr>
  </w:style>
  <w:style w:type="character" w:customStyle="1" w:styleId="BalloonTextChar">
    <w:name w:val="Balloon Text Char"/>
    <w:basedOn w:val="DefaultParagraphFont"/>
    <w:link w:val="BalloonText"/>
    <w:uiPriority w:val="99"/>
    <w:semiHidden/>
    <w:rsid w:val="009254DC"/>
    <w:rPr>
      <w:rFonts w:ascii="Tahoma" w:hAnsi="Tahoma" w:cs="Tahoma"/>
      <w:sz w:val="16"/>
      <w:szCs w:val="16"/>
    </w:rPr>
  </w:style>
  <w:style w:type="paragraph" w:styleId="ListParagraph">
    <w:name w:val="List Paragraph"/>
    <w:basedOn w:val="Normal"/>
    <w:uiPriority w:val="34"/>
    <w:qFormat/>
    <w:rsid w:val="006C4CEB"/>
    <w:pPr>
      <w:ind w:left="720"/>
      <w:contextualSpacing/>
    </w:pPr>
  </w:style>
  <w:style w:type="table" w:styleId="TableGrid">
    <w:name w:val="Table Grid"/>
    <w:basedOn w:val="TableNormal"/>
    <w:uiPriority w:val="59"/>
    <w:rsid w:val="0005543D"/>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55A81"/>
    <w:rPr>
      <w:sz w:val="16"/>
      <w:szCs w:val="16"/>
    </w:rPr>
  </w:style>
  <w:style w:type="paragraph" w:styleId="CommentText">
    <w:name w:val="annotation text"/>
    <w:basedOn w:val="Normal"/>
    <w:link w:val="CommentTextChar"/>
    <w:uiPriority w:val="99"/>
    <w:semiHidden/>
    <w:unhideWhenUsed/>
    <w:rsid w:val="00755A81"/>
    <w:rPr>
      <w:sz w:val="20"/>
      <w:szCs w:val="20"/>
    </w:rPr>
  </w:style>
  <w:style w:type="character" w:customStyle="1" w:styleId="CommentTextChar">
    <w:name w:val="Comment Text Char"/>
    <w:basedOn w:val="DefaultParagraphFont"/>
    <w:link w:val="CommentText"/>
    <w:uiPriority w:val="99"/>
    <w:semiHidden/>
    <w:rsid w:val="00755A81"/>
    <w:rPr>
      <w:sz w:val="20"/>
      <w:szCs w:val="20"/>
      <w:lang w:val="en-GB"/>
    </w:rPr>
  </w:style>
  <w:style w:type="paragraph" w:styleId="CommentSubject">
    <w:name w:val="annotation subject"/>
    <w:basedOn w:val="CommentText"/>
    <w:next w:val="CommentText"/>
    <w:link w:val="CommentSubjectChar"/>
    <w:uiPriority w:val="99"/>
    <w:semiHidden/>
    <w:unhideWhenUsed/>
    <w:rsid w:val="00755A81"/>
    <w:rPr>
      <w:b/>
      <w:bCs/>
    </w:rPr>
  </w:style>
  <w:style w:type="character" w:customStyle="1" w:styleId="CommentSubjectChar">
    <w:name w:val="Comment Subject Char"/>
    <w:basedOn w:val="CommentTextChar"/>
    <w:link w:val="CommentSubject"/>
    <w:uiPriority w:val="99"/>
    <w:semiHidden/>
    <w:rsid w:val="00755A81"/>
    <w:rPr>
      <w:b/>
      <w:bCs/>
      <w:sz w:val="20"/>
      <w:szCs w:val="20"/>
      <w:lang w:val="en-GB"/>
    </w:rPr>
  </w:style>
  <w:style w:type="table" w:customStyle="1" w:styleId="Sombreadoclaro1">
    <w:name w:val="Sombreado claro1"/>
    <w:basedOn w:val="TableNormal"/>
    <w:uiPriority w:val="60"/>
    <w:rsid w:val="008D51D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rsid w:val="005C355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Naturhistoriska Museet">
      <a:dk1>
        <a:sysClr val="windowText" lastClr="000000"/>
      </a:dk1>
      <a:lt1>
        <a:sysClr val="window" lastClr="FFFFFF"/>
      </a:lt1>
      <a:dk2>
        <a:srgbClr val="1F497D"/>
      </a:dk2>
      <a:lt2>
        <a:srgbClr val="EEECE1"/>
      </a:lt2>
      <a:accent1>
        <a:srgbClr val="99E0F8"/>
      </a:accent1>
      <a:accent2>
        <a:srgbClr val="00B2EE"/>
      </a:accent2>
      <a:accent3>
        <a:srgbClr val="0571B0"/>
      </a:accent3>
      <a:accent4>
        <a:srgbClr val="008CBB"/>
      </a:accent4>
      <a:accent5>
        <a:srgbClr val="0086B3"/>
      </a:accent5>
      <a:accent6>
        <a:srgbClr val="015A70"/>
      </a:accent6>
      <a:hlink>
        <a:srgbClr val="0000FF"/>
      </a:hlink>
      <a:folHlink>
        <a:srgbClr val="800080"/>
      </a:folHlink>
    </a:clrScheme>
    <a:fontScheme name="Naturhistoriska Muse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CB808-05B0-496E-8B49-E7A27C483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402</Words>
  <Characters>2217</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Naturhistoriska riksmuseet</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Edson Sandoval</dc:creator>
  <cp:lastModifiedBy>Edson</cp:lastModifiedBy>
  <cp:revision>8</cp:revision>
  <cp:lastPrinted>2011-02-28T15:21:00Z</cp:lastPrinted>
  <dcterms:created xsi:type="dcterms:W3CDTF">2014-04-19T22:16:00Z</dcterms:created>
  <dcterms:modified xsi:type="dcterms:W3CDTF">2014-05-03T19:29:00Z</dcterms:modified>
</cp:coreProperties>
</file>