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3C" w:rsidRDefault="00F37690">
      <w:pPr>
        <w:rPr>
          <w:lang w:val="de-DE"/>
        </w:rPr>
      </w:pPr>
      <w:r>
        <w:rPr>
          <w:lang w:val="de-DE"/>
        </w:rPr>
        <w:t>The ARRIVE Guidelines Checklist</w:t>
      </w:r>
    </w:p>
    <w:tbl>
      <w:tblPr>
        <w:tblStyle w:val="Tabellenraster"/>
        <w:tblW w:w="9889" w:type="dxa"/>
        <w:tblLook w:val="04A0" w:firstRow="1" w:lastRow="0" w:firstColumn="1" w:lastColumn="0" w:noHBand="0" w:noVBand="1"/>
      </w:tblPr>
      <w:tblGrid>
        <w:gridCol w:w="2659"/>
        <w:gridCol w:w="709"/>
        <w:gridCol w:w="5370"/>
        <w:gridCol w:w="1151"/>
      </w:tblGrid>
      <w:tr w:rsidR="00F37690" w:rsidTr="001B2803">
        <w:tc>
          <w:tcPr>
            <w:tcW w:w="2660" w:type="dxa"/>
          </w:tcPr>
          <w:p w:rsidR="00F37690" w:rsidRDefault="00F37690">
            <w:pPr>
              <w:rPr>
                <w:lang w:val="de-DE"/>
              </w:rPr>
            </w:pPr>
          </w:p>
        </w:tc>
        <w:tc>
          <w:tcPr>
            <w:tcW w:w="709" w:type="dxa"/>
          </w:tcPr>
          <w:p w:rsidR="00F37690" w:rsidRDefault="00F37690">
            <w:pPr>
              <w:rPr>
                <w:lang w:val="de-DE"/>
              </w:rPr>
            </w:pPr>
            <w:r>
              <w:rPr>
                <w:lang w:val="de-DE"/>
              </w:rPr>
              <w:t>ITEM</w:t>
            </w:r>
          </w:p>
        </w:tc>
        <w:tc>
          <w:tcPr>
            <w:tcW w:w="5377" w:type="dxa"/>
          </w:tcPr>
          <w:p w:rsidR="00F37690" w:rsidRPr="00F37690" w:rsidRDefault="00F37690" w:rsidP="00F37690">
            <w:pPr>
              <w:jc w:val="both"/>
              <w:rPr>
                <w:sz w:val="20"/>
                <w:szCs w:val="20"/>
                <w:lang w:val="de-DE"/>
              </w:rPr>
            </w:pPr>
            <w:r w:rsidRPr="00F37690">
              <w:rPr>
                <w:sz w:val="20"/>
                <w:szCs w:val="20"/>
                <w:lang w:val="de-DE"/>
              </w:rPr>
              <w:t>Statement</w:t>
            </w:r>
          </w:p>
        </w:tc>
        <w:tc>
          <w:tcPr>
            <w:tcW w:w="1143" w:type="dxa"/>
          </w:tcPr>
          <w:p w:rsidR="00F37690" w:rsidRDefault="00712B29" w:rsidP="00F37690">
            <w:pPr>
              <w:rPr>
                <w:lang w:val="de-DE"/>
              </w:rPr>
            </w:pPr>
            <w:proofErr w:type="spellStart"/>
            <w:r>
              <w:rPr>
                <w:lang w:val="de-DE"/>
              </w:rPr>
              <w:t>Section</w:t>
            </w:r>
            <w:proofErr w:type="spellEnd"/>
          </w:p>
        </w:tc>
      </w:tr>
      <w:tr w:rsidR="00F37690" w:rsidRPr="00F37690" w:rsidTr="001B2803">
        <w:tc>
          <w:tcPr>
            <w:tcW w:w="2660" w:type="dxa"/>
          </w:tcPr>
          <w:p w:rsidR="00F37690" w:rsidRDefault="00F37690">
            <w:pPr>
              <w:rPr>
                <w:lang w:val="de-DE"/>
              </w:rPr>
            </w:pPr>
            <w:r>
              <w:rPr>
                <w:lang w:val="de-DE"/>
              </w:rPr>
              <w:t>Title</w:t>
            </w:r>
          </w:p>
        </w:tc>
        <w:tc>
          <w:tcPr>
            <w:tcW w:w="709" w:type="dxa"/>
          </w:tcPr>
          <w:p w:rsidR="00F37690" w:rsidRDefault="00F37690">
            <w:pPr>
              <w:rPr>
                <w:lang w:val="de-DE"/>
              </w:rPr>
            </w:pPr>
            <w:r>
              <w:rPr>
                <w:lang w:val="de-DE"/>
              </w:rPr>
              <w:t>1</w:t>
            </w:r>
          </w:p>
        </w:tc>
        <w:tc>
          <w:tcPr>
            <w:tcW w:w="5377" w:type="dxa"/>
          </w:tcPr>
          <w:p w:rsidR="00F37690" w:rsidRPr="00F37690" w:rsidRDefault="00F37690" w:rsidP="00F37690">
            <w:pPr>
              <w:jc w:val="both"/>
              <w:rPr>
                <w:rFonts w:cs="Arial"/>
                <w:sz w:val="20"/>
                <w:szCs w:val="20"/>
              </w:rPr>
            </w:pPr>
            <w:r w:rsidRPr="00F37690">
              <w:rPr>
                <w:rFonts w:cs="Arial"/>
                <w:sz w:val="20"/>
                <w:szCs w:val="20"/>
              </w:rPr>
              <w:t>A Novel Antibody against Human Properdin Inhibits the Alternative Complement System and Specifically Detects Properdin from Blood Samples</w:t>
            </w:r>
          </w:p>
        </w:tc>
        <w:tc>
          <w:tcPr>
            <w:tcW w:w="1143" w:type="dxa"/>
          </w:tcPr>
          <w:p w:rsidR="00F37690" w:rsidRPr="00F37690" w:rsidRDefault="00712B29" w:rsidP="00F37690">
            <w:r>
              <w:t>Title</w:t>
            </w:r>
          </w:p>
        </w:tc>
      </w:tr>
      <w:tr w:rsidR="00F37690" w:rsidRPr="00F37690" w:rsidTr="001B2803">
        <w:tc>
          <w:tcPr>
            <w:tcW w:w="2660" w:type="dxa"/>
          </w:tcPr>
          <w:p w:rsidR="00F37690" w:rsidRDefault="00F37690">
            <w:pPr>
              <w:rPr>
                <w:lang w:val="de-DE"/>
              </w:rPr>
            </w:pPr>
            <w:r>
              <w:rPr>
                <w:lang w:val="de-DE"/>
              </w:rPr>
              <w:t>Abstract</w:t>
            </w:r>
          </w:p>
        </w:tc>
        <w:tc>
          <w:tcPr>
            <w:tcW w:w="709" w:type="dxa"/>
          </w:tcPr>
          <w:p w:rsidR="00F37690" w:rsidRDefault="00F37690">
            <w:pPr>
              <w:rPr>
                <w:lang w:val="de-DE"/>
              </w:rPr>
            </w:pPr>
            <w:r>
              <w:rPr>
                <w:lang w:val="de-DE"/>
              </w:rPr>
              <w:t>2</w:t>
            </w:r>
          </w:p>
        </w:tc>
        <w:tc>
          <w:tcPr>
            <w:tcW w:w="5377" w:type="dxa"/>
          </w:tcPr>
          <w:p w:rsidR="00F37690" w:rsidRPr="00F37690" w:rsidRDefault="00F37690" w:rsidP="00F37690">
            <w:pPr>
              <w:jc w:val="both"/>
              <w:rPr>
                <w:rFonts w:cs="Arial"/>
                <w:sz w:val="20"/>
                <w:szCs w:val="20"/>
              </w:rPr>
            </w:pPr>
            <w:r w:rsidRPr="00F37690">
              <w:rPr>
                <w:rFonts w:cs="Arial"/>
                <w:sz w:val="20"/>
                <w:szCs w:val="20"/>
              </w:rPr>
              <w:t xml:space="preserve">The complement system is an essential part of the innate immune system by acting as a first line of defense which is stabilized by properdin, the sole known positive regulator of the alternative complement pathway. Dysregulation of complement can promote a diversity of human inflammatory diseases which are treated by complement inhibitors. Here, we generated a novel blocking monoclonal antibody (mAb) </w:t>
            </w:r>
            <w:r w:rsidR="001B2803">
              <w:rPr>
                <w:rFonts w:cs="Arial"/>
                <w:sz w:val="20"/>
                <w:szCs w:val="20"/>
              </w:rPr>
              <w:t xml:space="preserve">in </w:t>
            </w:r>
            <w:proofErr w:type="spellStart"/>
            <w:r w:rsidR="001B2803">
              <w:rPr>
                <w:rFonts w:cs="Arial"/>
                <w:sz w:val="20"/>
                <w:szCs w:val="20"/>
              </w:rPr>
              <w:t>Balb</w:t>
            </w:r>
            <w:proofErr w:type="spellEnd"/>
            <w:r w:rsidR="001B2803">
              <w:rPr>
                <w:rFonts w:cs="Arial"/>
                <w:sz w:val="20"/>
                <w:szCs w:val="20"/>
              </w:rPr>
              <w:t xml:space="preserve">/c mice </w:t>
            </w:r>
            <w:r w:rsidRPr="00F37690">
              <w:rPr>
                <w:rFonts w:cs="Arial"/>
                <w:sz w:val="20"/>
                <w:szCs w:val="20"/>
              </w:rPr>
              <w:t>against properdin and devised a new diagnostic assay for this important complement regulator. Mouse mAb 1340 specifically detected native properdin from human samples with high avidity. MAb 1340 inhibited specifically the alternative complement mediated cell lysis within a concentration range of 0.5–2.7 µg/mL. Thus, in vitro anti-properdin mAb 1340 was fifteen times more efficient in blocking the complement system as compared to anti-C5 or anti-Ba antibodies. Computer-assisted modelling suggested a three-dimensional binding epitope in a properdin-</w:t>
            </w:r>
            <w:proofErr w:type="gramStart"/>
            <w:r w:rsidRPr="00F37690">
              <w:rPr>
                <w:rFonts w:cs="Arial"/>
                <w:sz w:val="20"/>
                <w:szCs w:val="20"/>
              </w:rPr>
              <w:t>C3(</w:t>
            </w:r>
            <w:proofErr w:type="gramEnd"/>
            <w:r w:rsidRPr="00F37690">
              <w:rPr>
                <w:rFonts w:cs="Arial"/>
                <w:sz w:val="20"/>
                <w:szCs w:val="20"/>
              </w:rPr>
              <w:t>H</w:t>
            </w:r>
            <w:r w:rsidRPr="00F37690">
              <w:rPr>
                <w:rFonts w:cs="Arial"/>
                <w:sz w:val="20"/>
                <w:szCs w:val="20"/>
                <w:vertAlign w:val="subscript"/>
              </w:rPr>
              <w:t>2</w:t>
            </w:r>
            <w:r w:rsidRPr="00F37690">
              <w:rPr>
                <w:rFonts w:cs="Arial"/>
                <w:sz w:val="20"/>
                <w:szCs w:val="20"/>
              </w:rPr>
              <w:t>O)-clusterin complex to be responsible for the inhibition.</w:t>
            </w:r>
          </w:p>
          <w:p w:rsidR="00F37690" w:rsidRPr="00F37690" w:rsidRDefault="00F37690" w:rsidP="00F37690">
            <w:pPr>
              <w:jc w:val="both"/>
              <w:rPr>
                <w:rFonts w:cs="Arial"/>
                <w:sz w:val="20"/>
                <w:szCs w:val="20"/>
              </w:rPr>
            </w:pPr>
            <w:r w:rsidRPr="00F37690">
              <w:rPr>
                <w:rFonts w:cs="Arial"/>
                <w:sz w:val="20"/>
                <w:szCs w:val="20"/>
              </w:rPr>
              <w:t>Recovery of properdin in a newly established sandwich ELISA using mAb 1340 was determined at 80–125% for blood sample dilutions above 1:50. Reproducibility assays showed a variation below 25% at dilutions less than 1:1,000. Systemic properdin concentrations of healthy controls and patients with age-related macular degeneration or rheumatic diseases were all in the range of 13–30 µg/mL and did not reveal significant differences.</w:t>
            </w:r>
          </w:p>
          <w:p w:rsidR="00F37690" w:rsidRPr="00F37690" w:rsidRDefault="00F37690" w:rsidP="00F37690">
            <w:pPr>
              <w:jc w:val="both"/>
              <w:rPr>
                <w:sz w:val="20"/>
                <w:szCs w:val="20"/>
              </w:rPr>
            </w:pPr>
            <w:r w:rsidRPr="00F37690">
              <w:rPr>
                <w:rFonts w:cs="Arial"/>
                <w:sz w:val="20"/>
                <w:szCs w:val="20"/>
              </w:rPr>
              <w:t>These initial results encourage further investigation into the functional role of properdin in the development, progression and treatment of diseases related to the alternative complement pathway. Thus, mAb 1340 represents a potent properdin inhibitor suitable for further research to understand the exact mechanisms how properdin activates the complement C3-convertase and to determine quantitative levels of properdin in biological samples.</w:t>
            </w:r>
          </w:p>
        </w:tc>
        <w:tc>
          <w:tcPr>
            <w:tcW w:w="1143" w:type="dxa"/>
          </w:tcPr>
          <w:p w:rsidR="00F37690" w:rsidRPr="00F37690" w:rsidRDefault="00712B29" w:rsidP="00712B29">
            <w:r>
              <w:t>Abstract</w:t>
            </w:r>
          </w:p>
        </w:tc>
      </w:tr>
      <w:tr w:rsidR="00F37690" w:rsidTr="001B2803">
        <w:tc>
          <w:tcPr>
            <w:tcW w:w="2660" w:type="dxa"/>
          </w:tcPr>
          <w:p w:rsidR="00F37690" w:rsidRDefault="00F37690">
            <w:pPr>
              <w:rPr>
                <w:lang w:val="de-DE"/>
              </w:rPr>
            </w:pPr>
            <w:r w:rsidRPr="002560B5">
              <w:rPr>
                <w:lang w:val="de-DE"/>
              </w:rPr>
              <w:t>Background</w:t>
            </w:r>
          </w:p>
        </w:tc>
        <w:tc>
          <w:tcPr>
            <w:tcW w:w="709" w:type="dxa"/>
          </w:tcPr>
          <w:p w:rsidR="00F37690" w:rsidRDefault="00F37690">
            <w:pPr>
              <w:rPr>
                <w:lang w:val="de-DE"/>
              </w:rPr>
            </w:pPr>
            <w:r>
              <w:rPr>
                <w:lang w:val="de-DE"/>
              </w:rPr>
              <w:t>3</w:t>
            </w:r>
          </w:p>
        </w:tc>
        <w:tc>
          <w:tcPr>
            <w:tcW w:w="5377" w:type="dxa"/>
          </w:tcPr>
          <w:p w:rsidR="00F37690" w:rsidRPr="002560B5" w:rsidRDefault="002560B5" w:rsidP="00F37690">
            <w:pPr>
              <w:jc w:val="both"/>
              <w:rPr>
                <w:sz w:val="20"/>
                <w:szCs w:val="20"/>
              </w:rPr>
            </w:pPr>
            <w:r w:rsidRPr="002560B5">
              <w:rPr>
                <w:rFonts w:cs="Arial"/>
                <w:sz w:val="20"/>
                <w:szCs w:val="20"/>
              </w:rPr>
              <w:t xml:space="preserve">Therapeutic compounds like Eculizumab (anti-C5 mAb) or </w:t>
            </w:r>
            <w:proofErr w:type="spellStart"/>
            <w:r w:rsidRPr="002560B5">
              <w:rPr>
                <w:rFonts w:cs="Arial"/>
                <w:sz w:val="20"/>
                <w:szCs w:val="20"/>
              </w:rPr>
              <w:t>Compstatin</w:t>
            </w:r>
            <w:proofErr w:type="spellEnd"/>
            <w:r w:rsidRPr="002560B5">
              <w:rPr>
                <w:rFonts w:cs="Arial"/>
                <w:sz w:val="20"/>
                <w:szCs w:val="20"/>
              </w:rPr>
              <w:t xml:space="preserve"> (anti-C3 peptide) target the central serine-proteases of all three complement pathways and showed effectiveness in clinical studies for aHUS as well as AMD, respectively </w:t>
            </w:r>
            <w:r w:rsidRPr="002560B5">
              <w:rPr>
                <w:rFonts w:cs="Arial"/>
                <w:sz w:val="20"/>
                <w:szCs w:val="20"/>
              </w:rPr>
              <w:fldChar w:fldCharType="begin" w:fldLock="1"/>
            </w:r>
            <w:r w:rsidRPr="002560B5">
              <w:rPr>
                <w:rFonts w:cs="Arial"/>
                <w:sz w:val="20"/>
                <w:szCs w:val="20"/>
              </w:rPr>
              <w:instrText>ADDIN CSL_CITATION { "citationItems" : [ { "id" : "ITEM-1", "itemData" : { "author" : [ { "dropping-particle" : "", "family" : "Weber", "given" : "Bernhard", "non-dropping-particle" : "", "parse-names" : false, "suffix" : "" }, { "dropping-particle" : "", "family" : "Issa", "given" : "Peter Charbel", "non-dropping-particle" : "", "parse-names" : false, "suffix" : "" }, { "dropping-particle" : "", "family" : "Pauly", "given" : "Diana", "non-dropping-particle" : "", "parse-names" : false, "suffix" : "" }, { "dropping-particle" : "", "family" : "Herrmann", "given" : "Philipp", "non-dropping-particle" : "", "parse-names" : false, "suffix" : "" }, { "dropping-particle" : "", "family" : "Grassmann", "given" : "Felix", "non-dropping-particle" : "", "parse-names" : false, "suffix" : "" }, { "dropping-particle" : "", "family" : "Holz", "given" : "Frank G.", "non-dropping-particle" : "", "parse-names" : false, "suffix" : "" } ], "container-title" : "Deutsches \u00c4rzteblatt international", "id" : "ITEM-1", "issued" : { "date-parts" : [ [ "2014" ] ] }, "title" : "Volkskrankheit altersabh\u00e4ngige Makuladegeneration (AMD)- Gro\u00dfe Bedeutung des Komplementsystems f\u00fcr Ursache, Pr\u00e4diktion und Therapie", "type" : "article-journal", "volume" : "under revi" }, "uris" : [ "http://www.mendeley.com/documents/?uuid=16a89c79-951d-459a-b6b6-7c3a878d1a93" ] }, { "id" : "ITEM-2", "itemData" : { "DOI" : "10.1038/nrneph.2012.214", "ISSN" : "1759-507X", "PMID" : "23026949", "abstract" : "In the past decade, a large body of evidence has accumulated in support of the critical role of dysregulation of the alternative complement pathway in atypical haemolytic uraemic syndrome (aHUS) and C3 glomerulopathies. These findings have paved the way for innovative therapeutic strategies based on complement blockade, and eculizumab, a monoclonal antibody targeting the human complement component 5, is now widely used to treat aHUS. In this article, we review 28 case reports and preliminary data from 37 patients enrolled in prospective trials of eculizumab treatment for episodes of aHUS involving either native or transplanted kidneys. Eculizumab may be considered as an optimal first-line therapy when the diagnosis of aHUS is unequivocal and this treatment has the potential to rescue renal function when administered early after onset of the disease. However, a number of important issues require further study, including the appropriate duration of treatment according to an individual's genetic background and medical history, the optimal strategy to prevent post-transplantation recurrence of aHUS and a cost-efficacy analysis. Data regarding the efficacy of eculizumab in the control of C3 glomerulopathies are more limited and less clear, but several observations suggest that eculizumab may act on the most inflammatory forms of this disorder.", "author" : [ { "dropping-particle" : "", "family" : "Zuber", "given" : "Julien", "non-dropping-particle" : "", "parse-names" : false, "suffix" : "" }, { "dropping-particle" : "", "family" : "Fakhouri", "given" : "Fadi", "non-dropping-particle" : "", "parse-names" : false, "suffix" : "" }, { "dropping-particle" : "", "family" : "Roumenina", "given" : "Lubka T", "non-dropping-particle" : "", "parse-names" : false, "suffix" : "" }, { "dropping-particle" : "", "family" : "Loirat", "given" : "Chantal", "non-dropping-particle" : "", "parse-names" : false, "suffix" : "" }, { "dropping-particle" : "", "family" : "Fr\u00e9meaux-Bacchi", "given" : "V\u00e9ronique", "non-dropping-particle" : "", "parse-names" : false, "suffix" : "" } ], "container-title" : "Nature reviews. Nephrology", "id" : "ITEM-2", "issue" : "11", "issued" : { "date-parts" : [ [ "2012", "11" ] ] }, "page" : "643-57", "title" : "Use of eculizumab for atypical haemolytic uraemic syndrome and C3 glomerulopathies.", "type" : "article-journal", "volume" : "8" }, "uris" : [ "http://www.mendeley.com/documents/?uuid=d24ecb72-8ffa-43c6-b3cc-886ff7453528" ] } ], "mendeley" : { "previouslyFormattedCitation" : "[56,57]" }, "properties" : { "noteIndex" : 0 }, "schema" : "https://github.com/citation-style-language/schema/raw/master/csl-citation.json" }</w:instrText>
            </w:r>
            <w:r w:rsidRPr="002560B5">
              <w:rPr>
                <w:rFonts w:cs="Arial"/>
                <w:sz w:val="20"/>
                <w:szCs w:val="20"/>
              </w:rPr>
              <w:fldChar w:fldCharType="separate"/>
            </w:r>
            <w:r w:rsidRPr="002560B5">
              <w:rPr>
                <w:rFonts w:cs="Arial"/>
                <w:noProof/>
                <w:sz w:val="20"/>
                <w:szCs w:val="20"/>
              </w:rPr>
              <w:t>[56,57]</w:t>
            </w:r>
            <w:r w:rsidRPr="002560B5">
              <w:rPr>
                <w:rFonts w:cs="Arial"/>
                <w:sz w:val="20"/>
                <w:szCs w:val="20"/>
              </w:rPr>
              <w:fldChar w:fldCharType="end"/>
            </w:r>
            <w:r w:rsidRPr="002560B5">
              <w:rPr>
                <w:rFonts w:cs="Arial"/>
                <w:sz w:val="20"/>
                <w:szCs w:val="20"/>
              </w:rPr>
              <w:t xml:space="preserve">. Developments like CFH supplements or anti-properdin antibodies offer the opportunity to influence regulators of the alternative complement system, while the proteases are only indirectly blocked </w:t>
            </w:r>
            <w:r w:rsidRPr="002560B5">
              <w:rPr>
                <w:rFonts w:cs="Arial"/>
                <w:sz w:val="20"/>
                <w:szCs w:val="20"/>
              </w:rPr>
              <w:fldChar w:fldCharType="begin" w:fldLock="1"/>
            </w:r>
            <w:r w:rsidRPr="002560B5">
              <w:rPr>
                <w:rFonts w:cs="Arial"/>
                <w:sz w:val="20"/>
                <w:szCs w:val="20"/>
              </w:rPr>
              <w:instrText>ADDIN CSL_CITATION { "citationItems" : [ { "id" : "ITEM-1", "itemData" : { "DOI" : "10.4049/jimmunol.1203548", "ISSN" : "1550-6606", "PMID" : "23616575", "abstract" : "Inadequate control of the complement system is the underlying or aggravating factor in many human diseases. Whereas treatment options that specifically target the alternative pathway (AP) of complement activation are considered highly desirable, no such option is available in the clinic. In this study, we present a successful example of protein engineering, guided by structural insight on the complement regulator factor H (FH), yielding a novel complement-targeted therapeutic (mini-FH) with clinical potential. Despite a 70% reduction in size, mini-FH retained and in some respects exceeded the regulatory activity and cell surface-recognition properties of its parent protein FH, including the recently described recognition of sites of oxidative stress. Importantly, the chosen design extended the functional spectrum of the inhibitor, as mini-FH showed increased binding to the surface-bound opsonins iC3b and C3dg when compared with FH. Thus, mini-FH is equipped with a unique and clinically valuable triple-targeting profile toward diseased host cells, through its binding to sites of ongoing complement activation, markers of oxidative damage, and host surface-specific polyanions. When assessed in a clinically relevant AP-mediated disease model of paroxysmal nocturnal hemoglobinuria, mini-FH largely outperformed FH and indicated advantages over clinically evaluated AP inhibitors. Thus, the rational engineering of a streamlined FH construct not only provided insight into the function of a key complement regulator, but also yielded a novel inhibitor that combines a triple-targeting approach with high AP-specific inhibitory activity (IC50 ~ 40 nM), which may pave the way toward new options for the treatment of complement-mediated diseases.", "author" : [ { "dropping-particle" : "", "family" : "Schmidt", "given" : "Christoph Q", "non-dropping-particle" : "", "parse-names" : false, "suffix" : "" }, { "dropping-particle" : "", "family" : "Bai", "given" : "Hongjun", "non-dropping-particle" : "", "parse-names" : false, "suffix" : "" }, { "dropping-particle" : "", "family" : "Lin", "given" : "Zhuoer", "non-dropping-particle" : "", "parse-names" : false, "suffix" : "" }, { "dropping-particle" : "", "family" : "Risitano", "given" : "Antonio M", "non-dropping-particle" : "", "parse-names" : false, "suffix" : "" }, { "dropping-particle" : "", "family" : "Barlow", "given" : "Paul N", "non-dropping-particle" : "", "parse-names" : false, "suffix" : "" }, { "dropping-particle" : "", "family" : "Ricklin", "given" : "Daniel", "non-dropping-particle" : "", "parse-names" : false, "suffix" : "" }, { "dropping-particle" : "", "family" : "Lambris", "given" : "John D", "non-dropping-particle" : "", "parse-names" : false, "suffix" : "" } ], "container-title" : "Journal of immunology (Baltimore, Md. : 1950)", "id" : "ITEM-1", "issue" : "11", "issued" : { "date-parts" : [ [ "2013", "6", "1" ] ] }, "page" : "5712-21", "title" : "Rational engineering of a minimized immune inhibitor with unique triple-targeting properties.", "type" : "article-journal", "volume" : "190" }, "uris" : [ "http://www.mendeley.com/documents/?uuid=87950749-e877-4c10-97e9-ce16c717e537" ] }, { "id" : "ITEM-2", "itemData" : { "DOI" : "10.1182/blood-2011-06-359646", "ISSN" : "1528-0020", "PMID" : "21860027", "abstract" : "To selectively modulate human complement alternative pathway (CAP) activity implicated in a wide range of acute and chronic inflammatory conditions and to provide local cell surface and tissue-based inhibition of complement-induced damage, we developed TT30, a novel therapeutic fusion protein linking the human complement receptor type 2 (CR2/CD21) C3 fragment (C3frag = iC3b, C3dg, C3d)-binding domain with the CAP inhibitory domain of human factor H (fH). TT30 efficiently blocks ex vivo CAP-dependent C3frag accumulation on activated surfaces, membrane attack complex (MAC) formation and hemolysis of RBCs in a CR2-dependent manner, and with a \u223c 150-fold potency gain over fH, without interference of C3 activation or MAC formation through the classic and lectin pathways. TT30 protects RBCs from hemolysis and remains bound and detectable for at least 24 hours. TT30 selectively inhibits CAP in cynomolgus monkeys and is bioavailable after subcutaneous injection. Using a unique combination of targeting and effector domains, TT30 controls cell surface CAP activation and has substantial potential utility for the treatment of human CAP-mediated diseases.", "author" : [ { "dropping-particle" : "", "family" : "Fridkis-Hareli", "given" : "Masha", "non-dropping-particle" : "", "parse-names" : false, "suffix" : "" }, { "dropping-particle" : "", "family" : "Storek", "given" : "Michael", "non-dropping-particle" : "", "parse-names" : false, "suffix" : "" }, { "dropping-particle" : "", "family" : "Mazsaroff", "given" : "Istvan", "non-dropping-particle" : "", "parse-names" : false, "suffix" : "" }, { "dropping-particle" : "", "family" : "Risitano", "given" : "Antonio M", "non-dropping-particle" : "", "parse-names" : false, "suffix" : "" }, { "dropping-particle" : "", "family" : "Lundberg", "given" : "Ante S", "non-dropping-particle" : "", "parse-names" : false, "suffix" : "" }, { "dropping-particle" : "", "family" : "Horvath", "given" : "Christopher J", "non-dropping-particle" : "", "parse-names" : false, "suffix" : "" }, { "dropping-particle" : "", "family" : "Holers", "given" : "V Michael", "non-dropping-particle" : "", "parse-names" : false, "suffix" : "" } ], "container-title" : "Blood", "id" : "ITEM-2", "issue" : "17", "issued" : { "date-parts" : [ [ "2011", "10", "27" ] ] }, "page" : "4705-13", "title" : "Design and development of TT30, a novel C3d-targeted C3/C5 convertase inhibitor for treatment of human complement alternative pathway-mediated diseases.", "type" : "article-journal", "volume" : "118" }, "uris" : [ "http://www.mendeley.com/documents/?uuid=a005cc5c-2a49-407c-a4b1-dfe9bed46df3" ] } ], "mendeley" : { "previouslyFormattedCitation" : "[58,59]" }, "properties" : { "noteIndex" : 0 }, "schema" : "https://github.com/citation-style-language/schema/raw/master/csl-citation.json" }</w:instrText>
            </w:r>
            <w:r w:rsidRPr="002560B5">
              <w:rPr>
                <w:rFonts w:cs="Arial"/>
                <w:sz w:val="20"/>
                <w:szCs w:val="20"/>
              </w:rPr>
              <w:fldChar w:fldCharType="separate"/>
            </w:r>
            <w:r w:rsidRPr="002560B5">
              <w:rPr>
                <w:rFonts w:cs="Arial"/>
                <w:noProof/>
                <w:sz w:val="20"/>
                <w:szCs w:val="20"/>
              </w:rPr>
              <w:t>[58,59]</w:t>
            </w:r>
            <w:r w:rsidRPr="002560B5">
              <w:rPr>
                <w:rFonts w:cs="Arial"/>
                <w:sz w:val="20"/>
                <w:szCs w:val="20"/>
              </w:rPr>
              <w:fldChar w:fldCharType="end"/>
            </w:r>
            <w:r w:rsidRPr="002560B5">
              <w:rPr>
                <w:rFonts w:cs="Arial"/>
                <w:sz w:val="20"/>
                <w:szCs w:val="20"/>
              </w:rPr>
              <w:t xml:space="preserve">. Beneficial effects of properdin inhibition in mouse models for complement-mediated tissue injuries like arthritis or abdominal aortic aneurysm have been shown </w:t>
            </w:r>
            <w:r w:rsidRPr="002560B5">
              <w:rPr>
                <w:rFonts w:cs="Arial"/>
                <w:sz w:val="20"/>
                <w:szCs w:val="20"/>
              </w:rPr>
              <w:fldChar w:fldCharType="begin" w:fldLock="1"/>
            </w:r>
            <w:r w:rsidRPr="002560B5">
              <w:rPr>
                <w:rFonts w:cs="Arial"/>
                <w:sz w:val="20"/>
                <w:szCs w:val="20"/>
              </w:rPr>
              <w:instrText>ADDIN CSL_CITATION { "citationItems" : [ { "id" : "ITEM-1", "itemData" : { "DOI" : "10.1172/JCI41782DS1", "ISSN" : "1558-8238", "PMID" : "20941861", "abstract" : "The alternative pathway (AP) of complement activation is constitutively active and must be regulated by host proteins to prevent autologous tissue injury. Dysfunction of AP regulatory proteins has been linked to several human inflammatory disorders. Properdin is a positive regulator of AP complement activation that has been shown to extend the half-life of cell surface\u2013bound C3 convertase C3bBb; it may also initiate AP complement activation. Here, we demonstrate a critical role for properdin in autologous tissue injury mediated by AP complement activation. We identified myeloid lineage cells as the principal source of plasma properdin by generating mice with global and tissue-specific knockout of Cfp (which encodes properdin) and by generating BM chimeric mice. Properdin deficiency rescued mice from AP complement\u2013mediated embryonic lethality caused by deficiency of the membrane complement regulator Crry and markedly reduced disease severity in the K/BxN model of arthritis. Ab neutralization of properdin in WT mice similarly ameliorated arthritis development, whereas reconstitution of properdin-null mice with exogenous properdin restored arthritis sensitivity. These data implicate systemic properdin as a key contributor to AP complement\u2013mediated injury and support its therapeutic targeting in complement-dependent human diseases.", "author" : [ { "dropping-particle" : "", "family" : "Kimura", "given" : "Yuko", "non-dropping-particle" : "", "parse-names" : false, "suffix" : "" }, { "dropping-particle" : "", "family" : "Zhou", "given" : "Lin", "non-dropping-particle" : "", "parse-names" : false, "suffix" : "" }, { "dropping-particle" : "", "family" : "Miwa", "given" : "Takashi", "non-dropping-particle" : "", "parse-names" : false, "suffix" : "" }, { "dropping-particle" : "", "family" : "Song", "given" : "Wen-chao", "non-dropping-particle" : "", "parse-names" : false, "suffix" : "" } ], "container-title" : "The Journal of clinical investigation", "id" : "ITEM-1", "issue" : "10", "issued" : { "date-parts" : [ [ "2010", "10" ] ] }, "page" : "3545-54", "title" : "Genetic and therapeutic targeting of properdin in mice prevents complement-mediated tissue injury.", "type" : "article-journal", "volume" : "120" }, "uris" : [ "http://www.mendeley.com/documents/?uuid=74284833-8a58-409a-99bb-eea4edb07b87" ] }, { "id" : "ITEM-2", "itemData" : { "DOI" : "10.1182/blood-2007-05-089821", "ISSN" : "0006-4971", "PMID" : "17916747", "abstract" : "Properdin is a positive regulator of alternative pathway (AP) complement. The current understanding of properdin function is that it facilitates AP complement activation by stabilizing the C3 convertase C3bBb. Properdin-deficient patients are susceptible to lethal meningococcal infection, but the mechanism of this selective predisposition is not fully understood. By gene targeting in the mouse, we show here that properdin is essential for AP complement activation induced by bacterial lipopolysacharride (LPS) and lipooligosacharride (LOS) and other, but not all, AP complement activators. LPS- and LOS-induced AP complement activation was abolished in properdin-/- mouse serum, and properdin-/- mice were unable to clear Crry-deficient erythrocytes, which are known to be susceptible to AP complement-mediated extravascular hemolysis. In contrast, zymosan- and cobra venom factor-induced AP complement activation, and classical pathway-triggered AP complement amplification were only partially or minimally affected in properdin-/- mice. We further show that the ability of human properdin to restore LPS-dependent AP complement activity in properdin-/- mouse serum correlated with the human properdin-binding affinity of the LPS. These results reveal a novel role of properdin in AP complement initiation and have implications for understanding the selective predisposition of properdin-deficient patients to meningococcal infection.", "author" : [ { "dropping-particle" : "", "family" : "Kimura", "given" : "Yuko", "non-dropping-particle" : "", "parse-names" : false, "suffix" : "" }, { "dropping-particle" : "", "family" : "Miwa", "given" : "Takashi", "non-dropping-particle" : "", "parse-names" : false, "suffix" : "" }, { "dropping-particle" : "", "family" : "Zhou", "given" : "Lin", "non-dropping-particle" : "", "parse-names" : false, "suffix" : "" }, { "dropping-particle" : "", "family" : "Song", "given" : "Wen-Chao", "non-dropping-particle" : "", "parse-names" : false, "suffix" : "" } ], "container-title" : "Blood", "id" : "ITEM-2", "issue" : "2", "issued" : { "date-parts" : [ [ "2008", "1", "15" ] ] }, "note" : "        Properdin defecient mouse!      ", "page" : "732-40", "title" : "Activator-specific requirement of properdin in the initiation and amplification of the alternative pathway complement.", "type" : "article-journal", "volume" : "111" }, "uris" : [ "http://www.mendeley.com/documents/?uuid=4cee2b5b-a88f-4c57-9c62-a1bf52f2329b" ] }, { "id" : "ITEM-3", "itemData" : { "DOI" : "10.4049/jimmunol.1202275", "ISSN" : "1550-6606", "PMID" : "23427256", "abstract" : "Complement is implicated in the pathogenesis of ischemia-reperfusion injury (IRI). The activation pathway(s) and effector(s) of complement in IRI may be organ specific and remain to be fully characterized. We previously developed a renal IRI model in decay-accelerating factor (DAF) and CD59 double-knockout (DAF(-/-)CD59(-/-)) mice. In this study, we used this model to dissect the pathway(s) by which complement is activated in renal IRI and to evaluate whether C3aR- or C5aR-mediated inflammation or the membrane attack complex was pathogenic. We crossed DAF(-/-)CD59(-/-) mice with mice deficient in various complement components or receptors including C3, C4, factor B (fB), factor properdin (fP), mannose-binding lectin, C3aR, C5aR, or Ig and assessed renal IRI in the resulting mutant strains. We found that deletion of C3, fB, fP, C3aR, or C5aR significantly ameliorated renal IRI in DAF(-/-)CD59(-/-) mice, whereas deficiency of C4, Ig, or mannose-binding lectin had no effect. Treatment of DAF(-/-)CD59(-/-) mice with an anti-C5 mAb reduced renal IRI to a greater degree than did C5aR deficiency. We also generated and tested a function-blocking anti-mouse fP mAb and showed it to ameliorate renal IRI when given to DAF(-/-)CD59(-/-) mice 24 h before, but not 4 or 8 h after, ischemia/reperfusion. These results suggest that complement is activated via the alternative pathway during the early phase of reperfusion, and both anaphylatoxin-mediated inflammation and the membrane attack complex contribute to tissue injury. Further, they demonstrate a critical role for properdin and support its therapeutic targeting in renal IRI.", "author" : [ { "dropping-particle" : "", "family" : "Miwa", "given" : "Takashi", "non-dropping-particle" : "", "parse-names" : false, "suffix" : "" }, { "dropping-particle" : "", "family" : "Sato", "given" : "Sayaka", "non-dropping-particle" : "", "parse-names" : false, "suffix" : "" }, { "dropping-particle" : "", "family" : "Gullipalli", "given" : "Damodar", "non-dropping-particle" : "", "parse-names" : false, "suffix" : "" }, { "dropping-particle" : "", "family" : "Nangaku", "given" : "Masaomi", "non-dropping-particle" : "", "parse-names" : false, "suffix" : "" }, { "dropping-particle" : "", "family" : "Song", "given" : "Wen-Chao", "non-dropping-particle" : "", "parse-names" : false, "suffix" : "" } ], "container-title" : "Journal of immunology (Baltimore, Md. : 1950)", "id" : "ITEM-3", "issued" : { "date-parts" : [ [ "2013", "2", "20" ] ] }, "note" : "Anti-Maus Properdin mAB! Generiert in PRoperdin defizienten M\u00e4usen. In Modell eingesetzt!", "title" : "Blocking Properdin, the Alternative Pathway, and Anaphylatoxin Receptors Ameliorates Renal Ischemia-Reperfusion Injury in Decay-Accelerating Factor and CD59 Double-Knockout Mice.", "type" : "article-journal" }, "uris" : [ "http://www.mendeley.com/documents/?uuid=a0576985-20b6-434a-b908-8b4afd764637" ] }, { "id" : "ITEM-4", "itemData" : { "DOI" : "10.1016/j.molimm.2010.02.007", "ISSN" : "1872-9142", "PMID" : "20226532", "abstract" : "Using properdin-deficient and wild-type mice, we have investigated the role of properdin in development and progression of zymosan-induced arthritis. At the initial phase of local, zymosan-induced inflammation, properdin-deficient and wild-type mice showed bone erosion, proteoglycan loss and cell infiltration. Compared to wild-type, properdin-deficient mice had reduced C5a and IL-6 but similar synovial TNF-alpha and sRANKL levels. Both groups showed a systemic immune response. Elevated IFN-gamma production and STAT1 signaling in splenocytes and a shift to Th1 response in popliteal lymph nodes were observed in properdin-deficient mice. Properdin-deficient mice had significantly less circulating zymosan-specific IgG antibodies than wild-type. In the chronic phase, the lack of properdin resulted in significant proteoglycan loss in the joints and lower cartilageneous STAT1 expression. The level of synovial C5a on day 30 was comparable in both groups, but C5aR staining was more apparent in the joints of properdin-deficient mice. Our data show that properdin is an important player in processes involved in inflammatory joint degradation.", "author" : [ { "dropping-particle" : "", "family" : "Dimitrova", "given" : "Petya", "non-dropping-particle" : "", "parse-names" : false, "suffix" : "" }, { "dropping-particle" : "", "family" : "Ivanovska", "given" : "Nina", "non-dropping-particle" : "", "parse-names" : false, "suffix" : "" }, { "dropping-particle" : "", "family" : "Schwaeble", "given" : "Wilhelm", "non-dropping-particle" : "", "parse-names" : false, "suffix" : "" }, { "dropping-particle" : "", "family" : "Gyurkovska", "given" : "Valeriya", "non-dropping-particle" : "", "parse-names" : false, "suffix" : "" }, { "dropping-particle" : "", "family" : "Stover", "given" : "Cordula", "non-dropping-particle" : "", "parse-names" : false, "suffix" : "" } ], "container-title" : "Molecular immunology", "id" : "ITEM-4", "issue" : "7-8", "issued" : { "date-parts" : [ [ "2010", "4" ] ] }, "page" : "1458-66", "publisher" : "Elsevier Ltd", "title" : "The role of properdin in murine zymosan-induced arthritis.", "type" : "article-journal", "volume" : "47" }, "uris" : [ "http://www.mendeley.com/documents/?uuid=86b005ff-2520-42d3-be86-8c313bf0da50" ] }, { "id" : "ITEM-5", "itemData" : { "DOI" : "10.1073/pnas.1119000109", "ISSN" : "1091-6490", "PMID" : "22308431", "abstract" : "Abdominal aortic aneurysm (AAA) is a complex inflammatory vascular disease. There are currently limited treatment options for AAA when surgery is inapplicable. Therefore, insights into molecular mechanisms underlying AAA pathogenesis may reveal therapeutic targets that could be manipulated pharmacologically or biologically to halt disease progression. Using an elastase-induced AAA mouse model, we previously established that the complement alternative pathway (AP) plays a critical role in the development of AAA. However, the mechanism by which complement AP is initiated remains undefined. The complement protein properdin, traditionally viewed as a positive regulator of the AP, may also initiate complement activation by binding directly to target surfaces. In this study, we sought to determine whether properdin serves as a focal point for the initiation of the AP complement activation in AAA. Using a properdin loss of function mutation in mice and a mutant form of the complement factor B protein that produces a stable, properdin-free AP C3 convertase, we show that properdin is required for the development of elastase-induced AAA in its primary role as a convertase stabilizer. Unexpectedly, we find that, in AAA, natural IgG antibodies direct AP-mediated complement activation. The absence of IgG abrogates C3 deposition in elastase-perfused aortic wall and protects animals from AAA development. We also determine that blockade of properdin activity prevents aneurysm formation. These results indicate that an innate immune response to self-antigens activates the complement system and initiates the inflammatory cascade in AAA. Moreover, the study suggests that properdin-targeting strategies may halt aneurysmal growth.", "author" : [ { "dropping-particle" : "", "family" : "Zhou", "given" : "Hui-Fang", "non-dropping-particle" : "", "parse-names" : false, "suffix" : "" }, { "dropping-particle" : "", "family" : "Yan", "given" : "Huimin", "non-dropping-particle" : "", "parse-names" : false, "suffix" : "" }, { "dropping-particle" : "", "family" : "Stover", "given" : "Cordula M", "non-dropping-particle" : "", "parse-names" : false, "suffix" : "" }, { "dropping-particle" : "", "family" : "Fernandez", "given" : "Tamara Montes", "non-dropping-particle" : "", "parse-names" : false, "suffix" : "" }, { "dropping-particle" : "", "family" : "Rodriguez de Cordoba", "given" : "Santiago", "non-dropping-particle" : "", "parse-names" : false, "suffix" : "" }, { "dropping-particle" : "", "family" : "Song", "given" : "Wen-Chao", "non-dropping-particle" : "", "parse-names" : false, "suffix" : "" }, { "dropping-particle" : "", "family" : "Wu", "given" : "Xiaobo", "non-dropping-particle" : "", "parse-names" : false, "suffix" : "" }, { "dropping-particle" : "", "family" : "Thompson", "given" : "Robert W", "non-dropping-particle" : "", "parse-names" : false, "suffix" : "" }, { "dropping-particle" : "", "family" : "Schwaeble", "given" : "Wilhelm J", "non-dropping-particle" : "", "parse-names" : false, "suffix" : "" }, { "dropping-particle" : "", "family" : "Atkinson", "given" : "John P", "non-dropping-particle" : "", "parse-names" : false, "suffix" : "" }, { "dropping-particle" : "", "family" : "Hourcade", "given" : "Dennis E", "non-dropping-particle" : "", "parse-names" : false, "suffix" : "" }, { "dropping-particle" : "", "family" : "Pham", "given" : "Christine T N", "non-dropping-particle" : "", "parse-names" : false, "suffix" : "" } ], "container-title" : "Proceedings of the National Academy of Sciences of the United States of America", "id" : "ITEM-5", "issue" : "7", "issued" : { "date-parts" : [ [ "2012", "2", "14" ] ] }, "page" : "E415-22", "title" : "Antibody directs properdin-dependent activation of the complement alternative pathway in a mouse model of abdominal aortic aneurysm.", "type" : "article-journal", "volume" : "109" }, "uris" : [ "http://www.mendeley.com/documents/?uuid=a658a166-029b-441d-bb64-3431e302920b" ] } ], "mendeley" : { "previouslyFormattedCitation" : "[26\u201329,60]" }, "properties" : { "noteIndex" : 0 }, "schema" : "https://github.com/citation-style-language/schema/raw/master/csl-citation.json" }</w:instrText>
            </w:r>
            <w:r w:rsidRPr="002560B5">
              <w:rPr>
                <w:rFonts w:cs="Arial"/>
                <w:sz w:val="20"/>
                <w:szCs w:val="20"/>
              </w:rPr>
              <w:fldChar w:fldCharType="separate"/>
            </w:r>
            <w:r w:rsidRPr="002560B5">
              <w:rPr>
                <w:rFonts w:cs="Arial"/>
                <w:noProof/>
                <w:sz w:val="20"/>
                <w:szCs w:val="20"/>
              </w:rPr>
              <w:t>[26–29,60]</w:t>
            </w:r>
            <w:r w:rsidRPr="002560B5">
              <w:rPr>
                <w:rFonts w:cs="Arial"/>
                <w:sz w:val="20"/>
                <w:szCs w:val="20"/>
              </w:rPr>
              <w:fldChar w:fldCharType="end"/>
            </w:r>
            <w:r w:rsidRPr="002560B5">
              <w:rPr>
                <w:rFonts w:cs="Arial"/>
                <w:sz w:val="20"/>
                <w:szCs w:val="20"/>
              </w:rPr>
              <w:t>. The novel mAb 1340 described here is a mouse antibody with high affinity and inhibiting activity against human native properdin.</w:t>
            </w:r>
          </w:p>
        </w:tc>
        <w:tc>
          <w:tcPr>
            <w:tcW w:w="1143" w:type="dxa"/>
          </w:tcPr>
          <w:p w:rsidR="00F37690" w:rsidRDefault="002560B5">
            <w:pPr>
              <w:rPr>
                <w:lang w:val="de-DE"/>
              </w:rPr>
            </w:pPr>
            <w:proofErr w:type="spellStart"/>
            <w:r>
              <w:rPr>
                <w:lang w:val="de-DE"/>
              </w:rPr>
              <w:t>Whole</w:t>
            </w:r>
            <w:proofErr w:type="spellEnd"/>
            <w:r>
              <w:rPr>
                <w:lang w:val="de-DE"/>
              </w:rPr>
              <w:t xml:space="preserve"> Paper</w:t>
            </w:r>
          </w:p>
        </w:tc>
      </w:tr>
      <w:tr w:rsidR="00F37690" w:rsidRPr="001B2803" w:rsidTr="001B2803">
        <w:tc>
          <w:tcPr>
            <w:tcW w:w="2660" w:type="dxa"/>
          </w:tcPr>
          <w:p w:rsidR="00F37690" w:rsidRDefault="00F37690">
            <w:pPr>
              <w:rPr>
                <w:lang w:val="de-DE"/>
              </w:rPr>
            </w:pPr>
            <w:proofErr w:type="spellStart"/>
            <w:r>
              <w:rPr>
                <w:lang w:val="de-DE"/>
              </w:rPr>
              <w:lastRenderedPageBreak/>
              <w:t>Objectives</w:t>
            </w:r>
            <w:proofErr w:type="spellEnd"/>
          </w:p>
        </w:tc>
        <w:tc>
          <w:tcPr>
            <w:tcW w:w="709" w:type="dxa"/>
          </w:tcPr>
          <w:p w:rsidR="00F37690" w:rsidRDefault="00F37690">
            <w:pPr>
              <w:rPr>
                <w:lang w:val="de-DE"/>
              </w:rPr>
            </w:pPr>
            <w:r>
              <w:rPr>
                <w:lang w:val="de-DE"/>
              </w:rPr>
              <w:t>4</w:t>
            </w:r>
          </w:p>
        </w:tc>
        <w:tc>
          <w:tcPr>
            <w:tcW w:w="5377" w:type="dxa"/>
          </w:tcPr>
          <w:p w:rsidR="00F37690" w:rsidRPr="001B2803" w:rsidRDefault="001B2803" w:rsidP="00F37690">
            <w:pPr>
              <w:jc w:val="both"/>
              <w:rPr>
                <w:sz w:val="20"/>
                <w:szCs w:val="20"/>
              </w:rPr>
            </w:pPr>
            <w:r w:rsidRPr="001B2803">
              <w:rPr>
                <w:sz w:val="20"/>
                <w:szCs w:val="20"/>
              </w:rPr>
              <w:t xml:space="preserve">Immunization of </w:t>
            </w:r>
            <w:proofErr w:type="spellStart"/>
            <w:r w:rsidRPr="001B2803">
              <w:rPr>
                <w:sz w:val="20"/>
                <w:szCs w:val="20"/>
              </w:rPr>
              <w:t>Balb</w:t>
            </w:r>
            <w:proofErr w:type="spellEnd"/>
            <w:r w:rsidRPr="001B2803">
              <w:rPr>
                <w:sz w:val="20"/>
                <w:szCs w:val="20"/>
              </w:rPr>
              <w:t>/c mice resu</w:t>
            </w:r>
            <w:r>
              <w:rPr>
                <w:sz w:val="20"/>
                <w:szCs w:val="20"/>
              </w:rPr>
              <w:t xml:space="preserve">lts in specific </w:t>
            </w:r>
            <w:proofErr w:type="spellStart"/>
            <w:r>
              <w:rPr>
                <w:sz w:val="20"/>
                <w:szCs w:val="20"/>
              </w:rPr>
              <w:t>IgG</w:t>
            </w:r>
            <w:proofErr w:type="spellEnd"/>
            <w:r>
              <w:rPr>
                <w:sz w:val="20"/>
                <w:szCs w:val="20"/>
              </w:rPr>
              <w:t xml:space="preserve"> generation. Spleen cells are used for the generation of monoclonal antibodies.</w:t>
            </w:r>
          </w:p>
        </w:tc>
        <w:tc>
          <w:tcPr>
            <w:tcW w:w="1143" w:type="dxa"/>
          </w:tcPr>
          <w:p w:rsidR="001B2803" w:rsidRPr="001B2803" w:rsidRDefault="00712B29">
            <w:r>
              <w:t>Results</w:t>
            </w:r>
          </w:p>
        </w:tc>
      </w:tr>
      <w:tr w:rsidR="00F37690" w:rsidRPr="001B2803" w:rsidTr="001B2803">
        <w:tc>
          <w:tcPr>
            <w:tcW w:w="2660" w:type="dxa"/>
          </w:tcPr>
          <w:p w:rsidR="00F37690" w:rsidRPr="001B2803" w:rsidRDefault="00F37690">
            <w:r w:rsidRPr="001B2803">
              <w:t>Ethical statement</w:t>
            </w:r>
          </w:p>
        </w:tc>
        <w:tc>
          <w:tcPr>
            <w:tcW w:w="709" w:type="dxa"/>
          </w:tcPr>
          <w:p w:rsidR="00F37690" w:rsidRPr="001B2803" w:rsidRDefault="00F37690">
            <w:r w:rsidRPr="001B2803">
              <w:t>5</w:t>
            </w:r>
          </w:p>
        </w:tc>
        <w:tc>
          <w:tcPr>
            <w:tcW w:w="5377" w:type="dxa"/>
          </w:tcPr>
          <w:p w:rsidR="00F37690" w:rsidRPr="001B2803" w:rsidRDefault="001B2803" w:rsidP="001B2803">
            <w:pPr>
              <w:jc w:val="both"/>
              <w:rPr>
                <w:rFonts w:cs="Arial"/>
                <w:sz w:val="20"/>
                <w:szCs w:val="20"/>
              </w:rPr>
            </w:pPr>
            <w:r w:rsidRPr="001B2803">
              <w:rPr>
                <w:rFonts w:cs="Arial"/>
                <w:sz w:val="20"/>
                <w:szCs w:val="20"/>
              </w:rPr>
              <w:t>All mice were handled according to the good animal practice in science.</w:t>
            </w:r>
            <w:r w:rsidRPr="001B2803">
              <w:rPr>
                <w:rFonts w:cs="Arial"/>
                <w:bCs/>
                <w:sz w:val="20"/>
                <w:szCs w:val="20"/>
              </w:rPr>
              <w:t xml:space="preserve"> This study was carried out in strict accordance with the recommendations in the Guidelines for the Care and Use of Laboratory Animals of the Federation of European Laboratory Animal Science Associations.</w:t>
            </w:r>
            <w:r w:rsidRPr="001B2803">
              <w:rPr>
                <w:b/>
                <w:bCs/>
                <w:sz w:val="20"/>
                <w:szCs w:val="20"/>
              </w:rPr>
              <w:t xml:space="preserve"> </w:t>
            </w:r>
            <w:r w:rsidRPr="001B2803">
              <w:rPr>
                <w:rFonts w:cs="Arial"/>
                <w:bCs/>
                <w:sz w:val="20"/>
                <w:szCs w:val="20"/>
              </w:rPr>
              <w:t xml:space="preserve">The protocol was approved by the Committee on the Ethics of Animal Experiments of the </w:t>
            </w:r>
            <w:proofErr w:type="spellStart"/>
            <w:r w:rsidRPr="001B2803">
              <w:rPr>
                <w:rFonts w:cs="Arial"/>
                <w:sz w:val="20"/>
                <w:szCs w:val="20"/>
              </w:rPr>
              <w:t>the</w:t>
            </w:r>
            <w:proofErr w:type="spellEnd"/>
            <w:r w:rsidRPr="001B2803">
              <w:rPr>
                <w:rFonts w:cs="Arial"/>
                <w:sz w:val="20"/>
                <w:szCs w:val="20"/>
              </w:rPr>
              <w:t xml:space="preserve"> regional agency for animal health </w:t>
            </w:r>
            <w:proofErr w:type="spellStart"/>
            <w:r w:rsidRPr="001B2803">
              <w:rPr>
                <w:rFonts w:cs="Arial"/>
                <w:bCs/>
                <w:sz w:val="20"/>
                <w:szCs w:val="20"/>
              </w:rPr>
              <w:t>Regierung</w:t>
            </w:r>
            <w:proofErr w:type="spellEnd"/>
            <w:r w:rsidRPr="001B2803">
              <w:rPr>
                <w:rFonts w:cs="Arial"/>
                <w:bCs/>
                <w:sz w:val="20"/>
                <w:szCs w:val="20"/>
              </w:rPr>
              <w:t xml:space="preserve"> der </w:t>
            </w:r>
            <w:proofErr w:type="spellStart"/>
            <w:r w:rsidRPr="001B2803">
              <w:rPr>
                <w:rFonts w:cs="Arial"/>
                <w:bCs/>
                <w:sz w:val="20"/>
                <w:szCs w:val="20"/>
              </w:rPr>
              <w:t>Oberpfalz</w:t>
            </w:r>
            <w:proofErr w:type="spellEnd"/>
            <w:r w:rsidRPr="001B2803">
              <w:rPr>
                <w:rFonts w:cs="Arial"/>
                <w:bCs/>
                <w:sz w:val="20"/>
                <w:szCs w:val="20"/>
              </w:rPr>
              <w:t xml:space="preserve">, </w:t>
            </w:r>
            <w:proofErr w:type="spellStart"/>
            <w:r w:rsidRPr="001B2803">
              <w:rPr>
                <w:rFonts w:cs="Arial"/>
                <w:bCs/>
                <w:sz w:val="20"/>
                <w:szCs w:val="20"/>
              </w:rPr>
              <w:t>Veterinärwesen</w:t>
            </w:r>
            <w:proofErr w:type="spellEnd"/>
            <w:r w:rsidRPr="001B2803">
              <w:rPr>
                <w:rFonts w:cs="Arial"/>
                <w:bCs/>
                <w:sz w:val="20"/>
                <w:szCs w:val="20"/>
              </w:rPr>
              <w:t xml:space="preserve"> (permit number: TV 54-2532.4-04/12). All immunizations and bleedings were performed under inhalational anesthesia (</w:t>
            </w:r>
            <w:proofErr w:type="spellStart"/>
            <w:r w:rsidRPr="001B2803">
              <w:rPr>
                <w:rFonts w:cs="Arial"/>
                <w:bCs/>
                <w:sz w:val="20"/>
                <w:szCs w:val="20"/>
              </w:rPr>
              <w:t>Is</w:t>
            </w:r>
            <w:bookmarkStart w:id="0" w:name="_GoBack"/>
            <w:bookmarkEnd w:id="0"/>
            <w:r w:rsidRPr="001B2803">
              <w:rPr>
                <w:rFonts w:cs="Arial"/>
                <w:bCs/>
                <w:sz w:val="20"/>
                <w:szCs w:val="20"/>
              </w:rPr>
              <w:t>oflurane</w:t>
            </w:r>
            <w:proofErr w:type="spellEnd"/>
            <w:r w:rsidRPr="001B2803">
              <w:rPr>
                <w:rFonts w:cs="Arial"/>
                <w:bCs/>
                <w:sz w:val="20"/>
                <w:szCs w:val="20"/>
              </w:rPr>
              <w:t>), and all efforts were made to minimize suffering.</w:t>
            </w:r>
          </w:p>
        </w:tc>
        <w:tc>
          <w:tcPr>
            <w:tcW w:w="1143" w:type="dxa"/>
          </w:tcPr>
          <w:p w:rsidR="00F37690" w:rsidRPr="001B2803" w:rsidRDefault="00712B29">
            <w:r>
              <w:t>Methods</w:t>
            </w:r>
          </w:p>
        </w:tc>
      </w:tr>
      <w:tr w:rsidR="00F37690" w:rsidRPr="001B2803" w:rsidTr="001B2803">
        <w:tc>
          <w:tcPr>
            <w:tcW w:w="2660" w:type="dxa"/>
          </w:tcPr>
          <w:p w:rsidR="00F37690" w:rsidRPr="001B2803" w:rsidRDefault="00F37690" w:rsidP="00F37690">
            <w:r w:rsidRPr="001B2803">
              <w:t>Study design</w:t>
            </w:r>
          </w:p>
        </w:tc>
        <w:tc>
          <w:tcPr>
            <w:tcW w:w="709" w:type="dxa"/>
          </w:tcPr>
          <w:p w:rsidR="00F37690" w:rsidRPr="001B2803" w:rsidRDefault="00F37690">
            <w:r w:rsidRPr="001B2803">
              <w:t>6</w:t>
            </w:r>
          </w:p>
        </w:tc>
        <w:tc>
          <w:tcPr>
            <w:tcW w:w="5377" w:type="dxa"/>
          </w:tcPr>
          <w:p w:rsidR="001B2803" w:rsidRPr="001B2803" w:rsidRDefault="001B2803" w:rsidP="001B2803">
            <w:pPr>
              <w:jc w:val="both"/>
              <w:rPr>
                <w:sz w:val="20"/>
                <w:szCs w:val="20"/>
              </w:rPr>
            </w:pPr>
            <w:r>
              <w:rPr>
                <w:sz w:val="20"/>
                <w:szCs w:val="20"/>
              </w:rPr>
              <w:t>Two mice were immunized. No other study design was performed.</w:t>
            </w:r>
          </w:p>
        </w:tc>
        <w:tc>
          <w:tcPr>
            <w:tcW w:w="1143" w:type="dxa"/>
          </w:tcPr>
          <w:p w:rsidR="00F37690" w:rsidRPr="001B2803" w:rsidRDefault="00712B29">
            <w:r>
              <w:t>Methods</w:t>
            </w:r>
          </w:p>
        </w:tc>
      </w:tr>
      <w:tr w:rsidR="00F37690" w:rsidRPr="001B2803" w:rsidTr="001B2803">
        <w:tc>
          <w:tcPr>
            <w:tcW w:w="2660" w:type="dxa"/>
          </w:tcPr>
          <w:p w:rsidR="00F37690" w:rsidRPr="001B2803" w:rsidRDefault="00F37690">
            <w:r w:rsidRPr="001B2803">
              <w:t>Experimental procedures</w:t>
            </w:r>
          </w:p>
        </w:tc>
        <w:tc>
          <w:tcPr>
            <w:tcW w:w="709" w:type="dxa"/>
          </w:tcPr>
          <w:p w:rsidR="00F37690" w:rsidRPr="001B2803" w:rsidRDefault="00F37690">
            <w:r w:rsidRPr="001B2803">
              <w:t>7</w:t>
            </w:r>
          </w:p>
        </w:tc>
        <w:tc>
          <w:tcPr>
            <w:tcW w:w="5377" w:type="dxa"/>
          </w:tcPr>
          <w:p w:rsidR="00F37690" w:rsidRPr="001B2803" w:rsidRDefault="001B2803" w:rsidP="00F37690">
            <w:pPr>
              <w:jc w:val="both"/>
              <w:rPr>
                <w:sz w:val="20"/>
                <w:szCs w:val="20"/>
              </w:rPr>
            </w:pPr>
            <w:r w:rsidRPr="001B2803">
              <w:rPr>
                <w:rFonts w:cs="Arial"/>
                <w:sz w:val="20"/>
                <w:szCs w:val="20"/>
              </w:rPr>
              <w:t xml:space="preserve">Mouse monoclonal antibodies against human properdin were generated as previously described </w:t>
            </w:r>
            <w:r w:rsidRPr="001B2803">
              <w:rPr>
                <w:rFonts w:cs="Arial"/>
                <w:sz w:val="20"/>
                <w:szCs w:val="20"/>
              </w:rPr>
              <w:fldChar w:fldCharType="begin" w:fldLock="1"/>
            </w:r>
            <w:r w:rsidRPr="001B2803">
              <w:rPr>
                <w:rFonts w:cs="Arial"/>
                <w:sz w:val="20"/>
                <w:szCs w:val="20"/>
              </w:rPr>
              <w:instrText>ADDIN CSL_CITATION { "citationItems" : [ { "id" : "ITEM-1", "itemData" : { "DOI" : "10.1039/b911525k", "ISSN" : "1364-5528", "PMID" : "19768210", "abstract" : "Proteotoxins such as ricin, abrin, botulinum neurotoxins type A and B (BoNT/A, BoNT/B) and staphylococcal enterotoxin B (SEB) are regarded as potential biological warfare agents which could be used for bioterrorism attacks on the food chain. In this study we used a novel immunisation strategy to generate high-affinity monoclonal and polyclonal antibodies against native ricin, BoNT/A, and BoNT/B. The antibodies were used along with antibodies against SEB and abrin to establish a highly sensitive magnetic and fluorescent multiplex bead array with excellent sensitivities between 2 ng/L and 546 ng/L from a minimal sample volume of 50 microL. The assay was validated using 20 different related analytes and the assay precision was determined. Advancing the existing bead array technology, the novel magnetic and fluorescent microbeads proved amenable to enrichment procedures, by further increasing sensitivity to 0.3-85 ng/L, starting from a sample volume of 500 microL. Furthermore, the method was successfully applied for the simultaneous identification of the target toxins spiked into complex food matrices like milk, baby food and yoghurt. On the basis of our results, the assay appears to be a good tool for large-scale screening of samples from the food supply chain.", "author" : [ { "dropping-particle" : "", "family" : "Pauly", "given" : "Diana", "non-dropping-particle" : "", "parse-names" : false, "suffix" : "" }, { "dropping-particle" : "", "family" : "Kirchner", "given" : "Sebastian", "non-dropping-particle" : "", "parse-names" : false, "suffix" : "" }, { "dropping-particle" : "", "family" : "Stoermann", "given" : "Britta", "non-dropping-particle" : "", "parse-names" : false, "suffix" : "" }, { "dropping-particle" : "", "family" : "Schreiber", "given" : "Tanja", "non-dropping-particle" : "", "parse-names" : false, "suffix" : "" }, { "dropping-particle" : "", "family" : "Kaulfuss", "given" : "Stefan", "non-dropping-particle" : "", "parse-names" : false, "suffix" : "" }, { "dropping-particle" : "", "family" : "Schade", "given" : "R\u00fcdiger", "non-dropping-particle" : "", "parse-names" : false, "suffix" : "" }, { "dropping-particle" : "", "family" : "Zbinden", "given" : "Reto", "non-dropping-particle" : "", "parse-names" : false, "suffix" : "" }, { "dropping-particle" : "", "family" : "Avondet", "given" : "Marc-Andr\u00e9", "non-dropping-particle" : "", "parse-names" : false, "suffix" : "" }, { "dropping-particle" : "", "family" : "Dorner", "given" : "Martin B", "non-dropping-particle" : "", "parse-names" : false, "suffix" : "" }, { "dropping-particle" : "", "family" : "Dorner", "given" : "Brigitte G", "non-dropping-particle" : "", "parse-names" : false, "suffix" : "" } ], "container-title" : "The Analyst", "id" : "ITEM-1", "issue" : "10", "issued" : { "date-parts" : [ [ "2009", "10" ] ] }, "page" : "2028-39", "title" : "Simultaneous quantification of five bacterial and plant toxins from complex matrices using a multiplexed fluorescent magnetic suspension assay.", "type" : "article-journal", "volume" : "134" }, "uris" : [ "http://www.mendeley.com/documents/?uuid=c2571e6e-c68c-4208-a7b1-a103c0c46616" ] } ], "mendeley" : { "previouslyFormattedCitation" : "[39]" }, "properties" : { "noteIndex" : 0 }, "schema" : "https://github.com/citation-style-language/schema/raw/master/csl-citation.json" }</w:instrText>
            </w:r>
            <w:r w:rsidRPr="001B2803">
              <w:rPr>
                <w:rFonts w:cs="Arial"/>
                <w:sz w:val="20"/>
                <w:szCs w:val="20"/>
              </w:rPr>
              <w:fldChar w:fldCharType="separate"/>
            </w:r>
            <w:r w:rsidRPr="001B2803">
              <w:rPr>
                <w:rFonts w:cs="Arial"/>
                <w:noProof/>
                <w:sz w:val="20"/>
                <w:szCs w:val="20"/>
              </w:rPr>
              <w:t>[39]</w:t>
            </w:r>
            <w:r w:rsidRPr="001B2803">
              <w:rPr>
                <w:rFonts w:cs="Arial"/>
                <w:sz w:val="20"/>
                <w:szCs w:val="20"/>
              </w:rPr>
              <w:fldChar w:fldCharType="end"/>
            </w:r>
            <w:r w:rsidRPr="001B2803">
              <w:rPr>
                <w:rFonts w:cs="Arial"/>
                <w:sz w:val="20"/>
                <w:szCs w:val="20"/>
              </w:rPr>
              <w:t xml:space="preserve">. Briefly, six weeks-old female </w:t>
            </w:r>
            <w:proofErr w:type="spellStart"/>
            <w:r w:rsidRPr="001B2803">
              <w:rPr>
                <w:rFonts w:cs="Arial"/>
                <w:sz w:val="20"/>
                <w:szCs w:val="20"/>
              </w:rPr>
              <w:t>Balb</w:t>
            </w:r>
            <w:proofErr w:type="spellEnd"/>
            <w:r w:rsidRPr="001B2803">
              <w:rPr>
                <w:rFonts w:cs="Arial"/>
                <w:sz w:val="20"/>
                <w:szCs w:val="20"/>
              </w:rPr>
              <w:t xml:space="preserve">/c mice (Charles River Laboratories, </w:t>
            </w:r>
            <w:proofErr w:type="spellStart"/>
            <w:r w:rsidRPr="001B2803">
              <w:rPr>
                <w:rFonts w:cs="Arial"/>
                <w:sz w:val="20"/>
                <w:szCs w:val="20"/>
              </w:rPr>
              <w:t>Sulzfeld</w:t>
            </w:r>
            <w:proofErr w:type="spellEnd"/>
            <w:r w:rsidRPr="001B2803">
              <w:rPr>
                <w:rFonts w:cs="Arial"/>
                <w:sz w:val="20"/>
                <w:szCs w:val="20"/>
              </w:rPr>
              <w:t>, Germany) were immunized five times with 25 µg human, purified properdin (</w:t>
            </w:r>
            <w:proofErr w:type="spellStart"/>
            <w:r w:rsidRPr="001B2803">
              <w:rPr>
                <w:rFonts w:cs="Arial"/>
                <w:sz w:val="20"/>
                <w:szCs w:val="20"/>
              </w:rPr>
              <w:t>Quidel</w:t>
            </w:r>
            <w:proofErr w:type="spellEnd"/>
            <w:r w:rsidRPr="001B2803">
              <w:rPr>
                <w:rFonts w:cs="Arial"/>
                <w:sz w:val="20"/>
                <w:szCs w:val="20"/>
              </w:rPr>
              <w:t>, San Diego, USA). Antigens were applied subcutaneously in complete Freund`s adjuvants for priming immunization and incomplete Freund`s adjuvants for follow-up immunizations.</w:t>
            </w:r>
          </w:p>
        </w:tc>
        <w:tc>
          <w:tcPr>
            <w:tcW w:w="1143" w:type="dxa"/>
          </w:tcPr>
          <w:p w:rsidR="00F37690" w:rsidRPr="001B2803" w:rsidRDefault="00712B29">
            <w:r>
              <w:t>Methods</w:t>
            </w:r>
          </w:p>
        </w:tc>
      </w:tr>
      <w:tr w:rsidR="00F37690" w:rsidRPr="001B2803" w:rsidTr="001B2803">
        <w:tc>
          <w:tcPr>
            <w:tcW w:w="2660" w:type="dxa"/>
          </w:tcPr>
          <w:p w:rsidR="00F37690" w:rsidRPr="001B2803" w:rsidRDefault="00F37690">
            <w:r w:rsidRPr="001B2803">
              <w:t>Experimental animals</w:t>
            </w:r>
          </w:p>
        </w:tc>
        <w:tc>
          <w:tcPr>
            <w:tcW w:w="709" w:type="dxa"/>
          </w:tcPr>
          <w:p w:rsidR="00F37690" w:rsidRPr="001B2803" w:rsidRDefault="00F37690">
            <w:r w:rsidRPr="001B2803">
              <w:t>8</w:t>
            </w:r>
          </w:p>
        </w:tc>
        <w:tc>
          <w:tcPr>
            <w:tcW w:w="5377" w:type="dxa"/>
          </w:tcPr>
          <w:p w:rsidR="00F37690" w:rsidRPr="001B2803" w:rsidRDefault="003A00A4" w:rsidP="00F37690">
            <w:pPr>
              <w:jc w:val="both"/>
              <w:rPr>
                <w:sz w:val="20"/>
                <w:szCs w:val="20"/>
              </w:rPr>
            </w:pPr>
            <w:r w:rsidRPr="001B2803">
              <w:rPr>
                <w:rFonts w:cs="Arial"/>
                <w:sz w:val="20"/>
                <w:szCs w:val="20"/>
              </w:rPr>
              <w:t xml:space="preserve">six weeks-old female </w:t>
            </w:r>
            <w:proofErr w:type="spellStart"/>
            <w:r w:rsidRPr="001B2803">
              <w:rPr>
                <w:rFonts w:cs="Arial"/>
                <w:sz w:val="20"/>
                <w:szCs w:val="20"/>
              </w:rPr>
              <w:t>Balb</w:t>
            </w:r>
            <w:proofErr w:type="spellEnd"/>
            <w:r w:rsidRPr="001B2803">
              <w:rPr>
                <w:rFonts w:cs="Arial"/>
                <w:sz w:val="20"/>
                <w:szCs w:val="20"/>
              </w:rPr>
              <w:t xml:space="preserve">/c mice (Charles River Laboratories, </w:t>
            </w:r>
            <w:proofErr w:type="spellStart"/>
            <w:r w:rsidRPr="001B2803">
              <w:rPr>
                <w:rFonts w:cs="Arial"/>
                <w:sz w:val="20"/>
                <w:szCs w:val="20"/>
              </w:rPr>
              <w:t>Sulzfeld</w:t>
            </w:r>
            <w:proofErr w:type="spellEnd"/>
            <w:r w:rsidRPr="001B2803">
              <w:rPr>
                <w:rFonts w:cs="Arial"/>
                <w:sz w:val="20"/>
                <w:szCs w:val="20"/>
              </w:rPr>
              <w:t>, Germany)</w:t>
            </w:r>
          </w:p>
        </w:tc>
        <w:tc>
          <w:tcPr>
            <w:tcW w:w="1143" w:type="dxa"/>
          </w:tcPr>
          <w:p w:rsidR="00F37690" w:rsidRPr="001B2803" w:rsidRDefault="00712B29">
            <w:r>
              <w:t>Methods</w:t>
            </w:r>
          </w:p>
        </w:tc>
      </w:tr>
      <w:tr w:rsidR="00F37690" w:rsidRPr="001B2803" w:rsidTr="001B2803">
        <w:tc>
          <w:tcPr>
            <w:tcW w:w="2660" w:type="dxa"/>
          </w:tcPr>
          <w:p w:rsidR="00F37690" w:rsidRPr="001B2803" w:rsidRDefault="00F37690">
            <w:r w:rsidRPr="001B2803">
              <w:t>Housing and husbandry</w:t>
            </w:r>
          </w:p>
        </w:tc>
        <w:tc>
          <w:tcPr>
            <w:tcW w:w="709" w:type="dxa"/>
          </w:tcPr>
          <w:p w:rsidR="00F37690" w:rsidRPr="001B2803" w:rsidRDefault="00F37690">
            <w:r w:rsidRPr="001B2803">
              <w:t>9</w:t>
            </w:r>
          </w:p>
        </w:tc>
        <w:tc>
          <w:tcPr>
            <w:tcW w:w="5377" w:type="dxa"/>
          </w:tcPr>
          <w:p w:rsidR="00F37690" w:rsidRPr="001B2803" w:rsidRDefault="003A00A4" w:rsidP="00F37690">
            <w:pPr>
              <w:jc w:val="both"/>
              <w:rPr>
                <w:sz w:val="20"/>
                <w:szCs w:val="20"/>
              </w:rPr>
            </w:pPr>
            <w:r>
              <w:rPr>
                <w:sz w:val="20"/>
                <w:szCs w:val="20"/>
              </w:rPr>
              <w:t>Central animal facility University Regensburg, specific pathogen free housing</w:t>
            </w:r>
          </w:p>
        </w:tc>
        <w:tc>
          <w:tcPr>
            <w:tcW w:w="1143" w:type="dxa"/>
          </w:tcPr>
          <w:p w:rsidR="00F37690" w:rsidRPr="001B2803" w:rsidRDefault="00712B29">
            <w:r>
              <w:t>Methods</w:t>
            </w:r>
          </w:p>
        </w:tc>
      </w:tr>
      <w:tr w:rsidR="00F37690" w:rsidRPr="001B2803" w:rsidTr="001B2803">
        <w:tc>
          <w:tcPr>
            <w:tcW w:w="2660" w:type="dxa"/>
          </w:tcPr>
          <w:p w:rsidR="00F37690" w:rsidRPr="001B2803" w:rsidRDefault="00F37690">
            <w:r w:rsidRPr="001B2803">
              <w:t>Sample size</w:t>
            </w:r>
          </w:p>
        </w:tc>
        <w:tc>
          <w:tcPr>
            <w:tcW w:w="709" w:type="dxa"/>
          </w:tcPr>
          <w:p w:rsidR="00F37690" w:rsidRPr="001B2803" w:rsidRDefault="00F37690">
            <w:r w:rsidRPr="001B2803">
              <w:t>10</w:t>
            </w:r>
          </w:p>
        </w:tc>
        <w:tc>
          <w:tcPr>
            <w:tcW w:w="5377" w:type="dxa"/>
          </w:tcPr>
          <w:p w:rsidR="00F37690" w:rsidRPr="001B2803" w:rsidRDefault="003A00A4" w:rsidP="003A00A4">
            <w:pPr>
              <w:jc w:val="both"/>
              <w:rPr>
                <w:sz w:val="20"/>
                <w:szCs w:val="20"/>
              </w:rPr>
            </w:pPr>
            <w:r>
              <w:rPr>
                <w:sz w:val="20"/>
                <w:szCs w:val="20"/>
              </w:rPr>
              <w:t>Two mice were immunized. Smallest possible sample size was used. No other calculations were performed.</w:t>
            </w:r>
          </w:p>
        </w:tc>
        <w:tc>
          <w:tcPr>
            <w:tcW w:w="1143" w:type="dxa"/>
          </w:tcPr>
          <w:p w:rsidR="00F37690" w:rsidRPr="001B2803" w:rsidRDefault="00712B29">
            <w:r>
              <w:t>Methods</w:t>
            </w:r>
          </w:p>
        </w:tc>
      </w:tr>
      <w:tr w:rsidR="00F37690" w:rsidRPr="00F37690" w:rsidTr="001B2803">
        <w:tc>
          <w:tcPr>
            <w:tcW w:w="2660" w:type="dxa"/>
          </w:tcPr>
          <w:p w:rsidR="00F37690" w:rsidRPr="00F37690" w:rsidRDefault="00F37690">
            <w:r w:rsidRPr="00F37690">
              <w:t>Allocating animals to experimental groups</w:t>
            </w:r>
          </w:p>
        </w:tc>
        <w:tc>
          <w:tcPr>
            <w:tcW w:w="709" w:type="dxa"/>
          </w:tcPr>
          <w:p w:rsidR="00F37690" w:rsidRPr="00F37690" w:rsidRDefault="00F37690">
            <w:r>
              <w:t>11</w:t>
            </w:r>
          </w:p>
        </w:tc>
        <w:tc>
          <w:tcPr>
            <w:tcW w:w="5377" w:type="dxa"/>
          </w:tcPr>
          <w:p w:rsidR="00F37690" w:rsidRPr="00F37690" w:rsidRDefault="003A00A4" w:rsidP="00F37690">
            <w:pPr>
              <w:jc w:val="both"/>
              <w:rPr>
                <w:sz w:val="20"/>
                <w:szCs w:val="20"/>
              </w:rPr>
            </w:pPr>
            <w:r>
              <w:rPr>
                <w:sz w:val="20"/>
                <w:szCs w:val="20"/>
              </w:rPr>
              <w:t>N/A</w:t>
            </w:r>
          </w:p>
        </w:tc>
        <w:tc>
          <w:tcPr>
            <w:tcW w:w="1143" w:type="dxa"/>
          </w:tcPr>
          <w:p w:rsidR="00F37690" w:rsidRPr="00F37690" w:rsidRDefault="00F37690"/>
        </w:tc>
      </w:tr>
      <w:tr w:rsidR="00F37690" w:rsidRPr="00F37690" w:rsidTr="001B2803">
        <w:tc>
          <w:tcPr>
            <w:tcW w:w="2660" w:type="dxa"/>
          </w:tcPr>
          <w:p w:rsidR="00F37690" w:rsidRPr="00F37690" w:rsidRDefault="00F37690">
            <w:r>
              <w:t>Experimental outcomes</w:t>
            </w:r>
          </w:p>
        </w:tc>
        <w:tc>
          <w:tcPr>
            <w:tcW w:w="709" w:type="dxa"/>
          </w:tcPr>
          <w:p w:rsidR="00F37690" w:rsidRPr="00F37690" w:rsidRDefault="00F37690">
            <w:r>
              <w:t>12</w:t>
            </w:r>
          </w:p>
        </w:tc>
        <w:tc>
          <w:tcPr>
            <w:tcW w:w="5377" w:type="dxa"/>
          </w:tcPr>
          <w:p w:rsidR="00F37690" w:rsidRPr="00F37690" w:rsidRDefault="003A00A4" w:rsidP="00F37690">
            <w:pPr>
              <w:jc w:val="both"/>
              <w:rPr>
                <w:sz w:val="20"/>
                <w:szCs w:val="20"/>
              </w:rPr>
            </w:pPr>
            <w:r>
              <w:rPr>
                <w:sz w:val="20"/>
                <w:szCs w:val="20"/>
              </w:rPr>
              <w:t>Both animals developed an antibody titer against human properdin. MAb 1340 was isolated and characterized.</w:t>
            </w:r>
          </w:p>
        </w:tc>
        <w:tc>
          <w:tcPr>
            <w:tcW w:w="1143" w:type="dxa"/>
          </w:tcPr>
          <w:p w:rsidR="00F37690" w:rsidRPr="00F37690" w:rsidRDefault="00712B29">
            <w:r>
              <w:t>Results</w:t>
            </w:r>
          </w:p>
        </w:tc>
      </w:tr>
      <w:tr w:rsidR="00F37690" w:rsidRPr="00F37690" w:rsidTr="001B2803">
        <w:tc>
          <w:tcPr>
            <w:tcW w:w="2660" w:type="dxa"/>
          </w:tcPr>
          <w:p w:rsidR="00F37690" w:rsidRPr="00F37690" w:rsidRDefault="00F37690">
            <w:r>
              <w:t>Statistical methods</w:t>
            </w:r>
          </w:p>
        </w:tc>
        <w:tc>
          <w:tcPr>
            <w:tcW w:w="709" w:type="dxa"/>
          </w:tcPr>
          <w:p w:rsidR="00F37690" w:rsidRPr="00F37690" w:rsidRDefault="00F37690">
            <w:r>
              <w:t>13</w:t>
            </w:r>
          </w:p>
        </w:tc>
        <w:tc>
          <w:tcPr>
            <w:tcW w:w="5377" w:type="dxa"/>
          </w:tcPr>
          <w:p w:rsidR="00F37690" w:rsidRPr="00F37690" w:rsidRDefault="003A00A4" w:rsidP="00F37690">
            <w:pPr>
              <w:jc w:val="both"/>
              <w:rPr>
                <w:sz w:val="20"/>
                <w:szCs w:val="20"/>
              </w:rPr>
            </w:pPr>
            <w:r>
              <w:rPr>
                <w:sz w:val="20"/>
                <w:szCs w:val="20"/>
              </w:rPr>
              <w:t>N/A</w:t>
            </w:r>
          </w:p>
        </w:tc>
        <w:tc>
          <w:tcPr>
            <w:tcW w:w="1143" w:type="dxa"/>
          </w:tcPr>
          <w:p w:rsidR="00F37690" w:rsidRPr="00F37690" w:rsidRDefault="00F37690"/>
        </w:tc>
      </w:tr>
      <w:tr w:rsidR="00F37690" w:rsidRPr="00F37690" w:rsidTr="001B2803">
        <w:tc>
          <w:tcPr>
            <w:tcW w:w="2660" w:type="dxa"/>
          </w:tcPr>
          <w:p w:rsidR="00F37690" w:rsidRPr="00F37690" w:rsidRDefault="00F37690">
            <w:r>
              <w:t>Baseline data</w:t>
            </w:r>
          </w:p>
        </w:tc>
        <w:tc>
          <w:tcPr>
            <w:tcW w:w="709" w:type="dxa"/>
          </w:tcPr>
          <w:p w:rsidR="00F37690" w:rsidRPr="00F37690" w:rsidRDefault="00F37690">
            <w:r>
              <w:t>14</w:t>
            </w:r>
          </w:p>
        </w:tc>
        <w:tc>
          <w:tcPr>
            <w:tcW w:w="5377" w:type="dxa"/>
          </w:tcPr>
          <w:p w:rsidR="00F37690" w:rsidRPr="00F37690" w:rsidRDefault="003A00A4" w:rsidP="00F37690">
            <w:pPr>
              <w:jc w:val="both"/>
              <w:rPr>
                <w:sz w:val="20"/>
                <w:szCs w:val="20"/>
              </w:rPr>
            </w:pPr>
            <w:r>
              <w:rPr>
                <w:sz w:val="20"/>
                <w:szCs w:val="20"/>
              </w:rPr>
              <w:t>Antibody serum titer before immunization showed no titer against human properdin.</w:t>
            </w:r>
          </w:p>
        </w:tc>
        <w:tc>
          <w:tcPr>
            <w:tcW w:w="1143" w:type="dxa"/>
          </w:tcPr>
          <w:p w:rsidR="00F37690" w:rsidRPr="00F37690" w:rsidRDefault="00F37690"/>
        </w:tc>
      </w:tr>
      <w:tr w:rsidR="00F37690" w:rsidRPr="00F37690" w:rsidTr="001B2803">
        <w:tc>
          <w:tcPr>
            <w:tcW w:w="2660" w:type="dxa"/>
          </w:tcPr>
          <w:p w:rsidR="00F37690" w:rsidRPr="00F37690" w:rsidRDefault="00F37690">
            <w:r>
              <w:t xml:space="preserve">Numbers </w:t>
            </w:r>
            <w:r w:rsidR="00712B29">
              <w:t>analyzed</w:t>
            </w:r>
          </w:p>
        </w:tc>
        <w:tc>
          <w:tcPr>
            <w:tcW w:w="709" w:type="dxa"/>
          </w:tcPr>
          <w:p w:rsidR="00F37690" w:rsidRPr="00F37690" w:rsidRDefault="00F37690">
            <w:r>
              <w:t>15</w:t>
            </w:r>
          </w:p>
        </w:tc>
        <w:tc>
          <w:tcPr>
            <w:tcW w:w="5377" w:type="dxa"/>
          </w:tcPr>
          <w:p w:rsidR="00F37690" w:rsidRPr="00F37690" w:rsidRDefault="003A00A4" w:rsidP="00F37690">
            <w:pPr>
              <w:jc w:val="both"/>
              <w:rPr>
                <w:sz w:val="20"/>
                <w:szCs w:val="20"/>
              </w:rPr>
            </w:pPr>
            <w:r>
              <w:rPr>
                <w:sz w:val="20"/>
                <w:szCs w:val="20"/>
              </w:rPr>
              <w:t xml:space="preserve">Two mice were immunized. Only one mouse was successfully fused with myeloma cells. </w:t>
            </w:r>
          </w:p>
        </w:tc>
        <w:tc>
          <w:tcPr>
            <w:tcW w:w="1143" w:type="dxa"/>
          </w:tcPr>
          <w:p w:rsidR="00F37690" w:rsidRPr="00F37690" w:rsidRDefault="00F37690"/>
        </w:tc>
      </w:tr>
      <w:tr w:rsidR="00F37690" w:rsidRPr="00F37690" w:rsidTr="001B2803">
        <w:tc>
          <w:tcPr>
            <w:tcW w:w="2660" w:type="dxa"/>
          </w:tcPr>
          <w:p w:rsidR="00F37690" w:rsidRPr="00F37690" w:rsidRDefault="00F37690" w:rsidP="00C60FFA">
            <w:r>
              <w:t>Outcomes and estimation</w:t>
            </w:r>
          </w:p>
        </w:tc>
        <w:tc>
          <w:tcPr>
            <w:tcW w:w="709" w:type="dxa"/>
          </w:tcPr>
          <w:p w:rsidR="00F37690" w:rsidRPr="00F37690" w:rsidRDefault="00F37690">
            <w:r>
              <w:t>16</w:t>
            </w:r>
          </w:p>
        </w:tc>
        <w:tc>
          <w:tcPr>
            <w:tcW w:w="5377" w:type="dxa"/>
          </w:tcPr>
          <w:p w:rsidR="00F37690" w:rsidRPr="00F37690" w:rsidRDefault="003A00A4" w:rsidP="00F37690">
            <w:pPr>
              <w:jc w:val="both"/>
              <w:rPr>
                <w:sz w:val="20"/>
                <w:szCs w:val="20"/>
              </w:rPr>
            </w:pPr>
            <w:r>
              <w:rPr>
                <w:sz w:val="20"/>
                <w:szCs w:val="20"/>
              </w:rPr>
              <w:t>N/A</w:t>
            </w:r>
          </w:p>
        </w:tc>
        <w:tc>
          <w:tcPr>
            <w:tcW w:w="1143" w:type="dxa"/>
          </w:tcPr>
          <w:p w:rsidR="00F37690" w:rsidRPr="00F37690" w:rsidRDefault="00F37690"/>
        </w:tc>
      </w:tr>
      <w:tr w:rsidR="00F37690" w:rsidRPr="00F37690" w:rsidTr="001B2803">
        <w:tc>
          <w:tcPr>
            <w:tcW w:w="2660" w:type="dxa"/>
          </w:tcPr>
          <w:p w:rsidR="00F37690" w:rsidRDefault="00F37690">
            <w:r>
              <w:t>Adverse events</w:t>
            </w:r>
          </w:p>
        </w:tc>
        <w:tc>
          <w:tcPr>
            <w:tcW w:w="709" w:type="dxa"/>
          </w:tcPr>
          <w:p w:rsidR="00F37690" w:rsidRPr="00F37690" w:rsidRDefault="00F37690">
            <w:r>
              <w:t>17</w:t>
            </w:r>
          </w:p>
        </w:tc>
        <w:tc>
          <w:tcPr>
            <w:tcW w:w="5377" w:type="dxa"/>
          </w:tcPr>
          <w:p w:rsidR="00F37690" w:rsidRPr="00F37690" w:rsidRDefault="003A00A4" w:rsidP="00F37690">
            <w:pPr>
              <w:jc w:val="both"/>
              <w:rPr>
                <w:sz w:val="20"/>
                <w:szCs w:val="20"/>
              </w:rPr>
            </w:pPr>
            <w:r>
              <w:rPr>
                <w:sz w:val="20"/>
                <w:szCs w:val="20"/>
              </w:rPr>
              <w:t>N/A</w:t>
            </w:r>
          </w:p>
        </w:tc>
        <w:tc>
          <w:tcPr>
            <w:tcW w:w="1143" w:type="dxa"/>
          </w:tcPr>
          <w:p w:rsidR="00F37690" w:rsidRPr="00F37690" w:rsidRDefault="00F37690"/>
        </w:tc>
      </w:tr>
      <w:tr w:rsidR="00F37690" w:rsidRPr="00F37690" w:rsidTr="001B2803">
        <w:tc>
          <w:tcPr>
            <w:tcW w:w="2660" w:type="dxa"/>
          </w:tcPr>
          <w:p w:rsidR="00F37690" w:rsidRDefault="00F37690">
            <w:r w:rsidRPr="002560B5">
              <w:t>Interpretation/scientific implications</w:t>
            </w:r>
          </w:p>
        </w:tc>
        <w:tc>
          <w:tcPr>
            <w:tcW w:w="709" w:type="dxa"/>
          </w:tcPr>
          <w:p w:rsidR="00F37690" w:rsidRPr="00F37690" w:rsidRDefault="00F37690">
            <w:r>
              <w:t>18</w:t>
            </w:r>
          </w:p>
        </w:tc>
        <w:tc>
          <w:tcPr>
            <w:tcW w:w="5377" w:type="dxa"/>
          </w:tcPr>
          <w:p w:rsidR="00F37690" w:rsidRPr="002560B5" w:rsidRDefault="002560B5" w:rsidP="00F37690">
            <w:pPr>
              <w:jc w:val="both"/>
              <w:rPr>
                <w:rFonts w:ascii="Calibri" w:hAnsi="Calibri"/>
                <w:sz w:val="20"/>
                <w:szCs w:val="20"/>
              </w:rPr>
            </w:pPr>
            <w:r w:rsidRPr="002560B5">
              <w:rPr>
                <w:rFonts w:ascii="Calibri" w:hAnsi="Calibri" w:cs="Arial"/>
                <w:sz w:val="20"/>
                <w:szCs w:val="20"/>
              </w:rPr>
              <w:t>We anticipate that the development of the novel distinct properdin inhibiting mAb 1340 and our specific properdin detection system will be instrumental to further characterization of properdin and its impact on human pathologies</w:t>
            </w:r>
            <w:r>
              <w:rPr>
                <w:rFonts w:ascii="Calibri" w:hAnsi="Calibri" w:cs="Arial"/>
                <w:sz w:val="20"/>
                <w:szCs w:val="20"/>
              </w:rPr>
              <w:t>.</w:t>
            </w:r>
          </w:p>
        </w:tc>
        <w:tc>
          <w:tcPr>
            <w:tcW w:w="1143" w:type="dxa"/>
          </w:tcPr>
          <w:p w:rsidR="00F37690" w:rsidRPr="00F37690" w:rsidRDefault="00712B29">
            <w:r>
              <w:t>Results/ Discussion</w:t>
            </w:r>
          </w:p>
        </w:tc>
      </w:tr>
      <w:tr w:rsidR="00F37690" w:rsidRPr="00F37690" w:rsidTr="001B2803">
        <w:tc>
          <w:tcPr>
            <w:tcW w:w="2660" w:type="dxa"/>
          </w:tcPr>
          <w:p w:rsidR="00F37690" w:rsidRDefault="00712B29">
            <w:r>
              <w:t>Generalizability</w:t>
            </w:r>
            <w:r w:rsidR="00F37690">
              <w:t>/ translation</w:t>
            </w:r>
          </w:p>
        </w:tc>
        <w:tc>
          <w:tcPr>
            <w:tcW w:w="709" w:type="dxa"/>
          </w:tcPr>
          <w:p w:rsidR="00F37690" w:rsidRPr="00F37690" w:rsidRDefault="00F37690">
            <w:r>
              <w:t>19</w:t>
            </w:r>
          </w:p>
        </w:tc>
        <w:tc>
          <w:tcPr>
            <w:tcW w:w="5377" w:type="dxa"/>
          </w:tcPr>
          <w:p w:rsidR="00F37690" w:rsidRPr="00F37690" w:rsidRDefault="003A00A4" w:rsidP="00F37690">
            <w:pPr>
              <w:jc w:val="both"/>
              <w:rPr>
                <w:sz w:val="20"/>
                <w:szCs w:val="20"/>
              </w:rPr>
            </w:pPr>
            <w:r>
              <w:rPr>
                <w:sz w:val="20"/>
                <w:szCs w:val="20"/>
              </w:rPr>
              <w:t>Antibodies are generated against foreign antigens. This could be used for vaccination strategies und for generation and isolation of antibodies as tools.</w:t>
            </w:r>
          </w:p>
        </w:tc>
        <w:tc>
          <w:tcPr>
            <w:tcW w:w="1143" w:type="dxa"/>
          </w:tcPr>
          <w:p w:rsidR="00F37690" w:rsidRPr="00F37690" w:rsidRDefault="00F37690"/>
        </w:tc>
      </w:tr>
      <w:tr w:rsidR="00F37690" w:rsidRPr="00F37690" w:rsidTr="001B2803">
        <w:tc>
          <w:tcPr>
            <w:tcW w:w="2660" w:type="dxa"/>
          </w:tcPr>
          <w:p w:rsidR="00F37690" w:rsidRDefault="00F37690">
            <w:r>
              <w:t>Funding</w:t>
            </w:r>
          </w:p>
        </w:tc>
        <w:tc>
          <w:tcPr>
            <w:tcW w:w="709" w:type="dxa"/>
          </w:tcPr>
          <w:p w:rsidR="00F37690" w:rsidRPr="00F37690" w:rsidRDefault="00F37690">
            <w:r>
              <w:t>20</w:t>
            </w:r>
          </w:p>
        </w:tc>
        <w:tc>
          <w:tcPr>
            <w:tcW w:w="5377" w:type="dxa"/>
          </w:tcPr>
          <w:p w:rsidR="002560B5" w:rsidRDefault="003A00A4" w:rsidP="003A00A4">
            <w:pPr>
              <w:autoSpaceDE w:val="0"/>
              <w:autoSpaceDN w:val="0"/>
              <w:adjustRightInd w:val="0"/>
              <w:rPr>
                <w:rFonts w:cs="ArialUnicodeMS"/>
                <w:sz w:val="20"/>
                <w:szCs w:val="20"/>
              </w:rPr>
            </w:pPr>
            <w:r w:rsidRPr="003A00A4">
              <w:rPr>
                <w:rFonts w:cs="ArialUnicodeMS"/>
                <w:sz w:val="20"/>
                <w:szCs w:val="20"/>
              </w:rPr>
              <w:t>This work was supported by a grant from the PRO RETINA foundation (http://www.proretina.de, DP) and in part by grants from the German Research Foundation (DFG,</w:t>
            </w:r>
            <w:r>
              <w:rPr>
                <w:rFonts w:cs="ArialUnicodeMS"/>
                <w:sz w:val="20"/>
                <w:szCs w:val="20"/>
              </w:rPr>
              <w:t xml:space="preserve"> </w:t>
            </w:r>
            <w:r w:rsidRPr="003A00A4">
              <w:rPr>
                <w:rFonts w:cs="ArialUnicodeMS"/>
                <w:sz w:val="20"/>
                <w:szCs w:val="20"/>
              </w:rPr>
              <w:t>http://www.dfg.de/) DFG Sk46/2-1 (CS</w:t>
            </w:r>
            <w:proofErr w:type="gramStart"/>
            <w:r w:rsidRPr="003A00A4">
              <w:rPr>
                <w:rFonts w:cs="ArialUnicodeMS"/>
                <w:sz w:val="20"/>
                <w:szCs w:val="20"/>
              </w:rPr>
              <w:t>)WE1259</w:t>
            </w:r>
            <w:proofErr w:type="gramEnd"/>
            <w:r w:rsidRPr="003A00A4">
              <w:rPr>
                <w:rFonts w:cs="ArialUnicodeMS"/>
                <w:sz w:val="20"/>
                <w:szCs w:val="20"/>
              </w:rPr>
              <w:t xml:space="preserve">/18-1 (BHFW), </w:t>
            </w:r>
            <w:r w:rsidRPr="003A00A4">
              <w:rPr>
                <w:rFonts w:cs="ArialUnicodeMS"/>
                <w:sz w:val="20"/>
                <w:szCs w:val="20"/>
              </w:rPr>
              <w:lastRenderedPageBreak/>
              <w:t>WE1259/19-1 (BHFW),</w:t>
            </w:r>
            <w:r>
              <w:rPr>
                <w:rFonts w:cs="ArialUnicodeMS"/>
                <w:sz w:val="20"/>
                <w:szCs w:val="20"/>
              </w:rPr>
              <w:t xml:space="preserve"> </w:t>
            </w:r>
            <w:r w:rsidRPr="003A00A4">
              <w:rPr>
                <w:rFonts w:cs="ArialUnicodeMS"/>
                <w:sz w:val="20"/>
                <w:szCs w:val="20"/>
              </w:rPr>
              <w:t>The Ruth and Milton Steinbach Foundation New York (BHFW) and the Alcon Research</w:t>
            </w:r>
            <w:r>
              <w:rPr>
                <w:rFonts w:cs="ArialUnicodeMS"/>
                <w:sz w:val="20"/>
                <w:szCs w:val="20"/>
              </w:rPr>
              <w:t xml:space="preserve"> </w:t>
            </w:r>
            <w:r w:rsidRPr="003A00A4">
              <w:rPr>
                <w:rFonts w:cs="ArialUnicodeMS"/>
                <w:sz w:val="20"/>
                <w:szCs w:val="20"/>
              </w:rPr>
              <w:t>Institute (http://www.alcon.com/, BHFW).</w:t>
            </w:r>
          </w:p>
          <w:p w:rsidR="00F37690" w:rsidRPr="00F37690" w:rsidRDefault="003A00A4" w:rsidP="003A00A4">
            <w:pPr>
              <w:autoSpaceDE w:val="0"/>
              <w:autoSpaceDN w:val="0"/>
              <w:adjustRightInd w:val="0"/>
              <w:rPr>
                <w:sz w:val="20"/>
                <w:szCs w:val="20"/>
              </w:rPr>
            </w:pPr>
            <w:r w:rsidRPr="003A00A4">
              <w:rPr>
                <w:rFonts w:cs="ArialUnicodeMS"/>
                <w:sz w:val="20"/>
                <w:szCs w:val="20"/>
              </w:rPr>
              <w:t>The funders had no role in study design, data collection and analysis, decision to</w:t>
            </w:r>
            <w:r>
              <w:rPr>
                <w:rFonts w:cs="ArialUnicodeMS"/>
                <w:sz w:val="20"/>
                <w:szCs w:val="20"/>
              </w:rPr>
              <w:t xml:space="preserve"> </w:t>
            </w:r>
            <w:r w:rsidRPr="003A00A4">
              <w:rPr>
                <w:rFonts w:cs="ArialUnicodeMS"/>
                <w:sz w:val="20"/>
                <w:szCs w:val="20"/>
              </w:rPr>
              <w:t>publish, or preparation of the manuscript.</w:t>
            </w:r>
          </w:p>
        </w:tc>
        <w:tc>
          <w:tcPr>
            <w:tcW w:w="1143" w:type="dxa"/>
          </w:tcPr>
          <w:p w:rsidR="00F37690" w:rsidRPr="00F37690" w:rsidRDefault="00F37690"/>
        </w:tc>
      </w:tr>
    </w:tbl>
    <w:p w:rsidR="00F37690" w:rsidRPr="00F37690" w:rsidRDefault="00F37690"/>
    <w:sectPr w:rsidR="00F37690" w:rsidRPr="00F3769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90"/>
    <w:rsid w:val="00046364"/>
    <w:rsid w:val="001B2803"/>
    <w:rsid w:val="001C3B36"/>
    <w:rsid w:val="002560B5"/>
    <w:rsid w:val="003A00A4"/>
    <w:rsid w:val="00712B29"/>
    <w:rsid w:val="009B3A68"/>
    <w:rsid w:val="00E95A94"/>
    <w:rsid w:val="00F3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3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A00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3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A0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5216</Words>
  <Characters>29735</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paulyd</dc:creator>
  <cp:lastModifiedBy>paulyd</cp:lastModifiedBy>
  <cp:revision>2</cp:revision>
  <dcterms:created xsi:type="dcterms:W3CDTF">2014-04-15T06:15:00Z</dcterms:created>
  <dcterms:modified xsi:type="dcterms:W3CDTF">2014-04-15T06:15:00Z</dcterms:modified>
</cp:coreProperties>
</file>