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A9" w:rsidRPr="007159DE" w:rsidRDefault="004A43A9" w:rsidP="004A4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159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Table </w:t>
      </w:r>
      <w:r w:rsidR="00A66B65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7159DE">
        <w:rPr>
          <w:rFonts w:ascii="Times New Roman" w:hAnsi="Times New Roman"/>
          <w:b/>
          <w:color w:val="000000" w:themeColor="text1"/>
          <w:sz w:val="24"/>
          <w:szCs w:val="24"/>
        </w:rPr>
        <w:t>1:</w:t>
      </w:r>
    </w:p>
    <w:p w:rsidR="004A43A9" w:rsidRPr="00BF29CF" w:rsidRDefault="004A43A9" w:rsidP="004A4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P7627" w:hAnsi="Times New Roman"/>
          <w:color w:val="000000" w:themeColor="text1"/>
          <w:sz w:val="24"/>
          <w:szCs w:val="24"/>
          <w:lang w:eastAsia="zh-CN"/>
        </w:rPr>
      </w:pPr>
      <w:r w:rsidRPr="007159DE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Binding free energies using the PBSA, MM GBSA and MM PBSA approximations for V3 loop : CCR5 complexes.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969"/>
        <w:gridCol w:w="811"/>
        <w:gridCol w:w="1078"/>
        <w:gridCol w:w="1352"/>
        <w:gridCol w:w="1352"/>
        <w:gridCol w:w="1262"/>
        <w:gridCol w:w="1172"/>
        <w:gridCol w:w="1164"/>
      </w:tblGrid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495" w:type="pct"/>
            <w:gridSpan w:val="3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Docking and Minimization</w:t>
            </w: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3296" w:type="pct"/>
            <w:gridSpan w:val="5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MD Simulations</w:t>
            </w:r>
            <w:r w:rsidRPr="007159D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495" w:type="pct"/>
            <w:gridSpan w:val="3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PBSA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MM GB/PBSA (Non-Polar)</w:t>
            </w:r>
            <w:r w:rsidRPr="007159D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67" w:type="pct"/>
            <w:gridSpan w:val="2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MM </w:t>
            </w:r>
            <w:proofErr w:type="spellStart"/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GBSA</w:t>
            </w: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zh-CN"/>
              </w:rPr>
              <w:t>ǂ</w:t>
            </w:r>
            <w:proofErr w:type="spellEnd"/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 (Polar and Total)</w:t>
            </w:r>
          </w:p>
        </w:tc>
        <w:tc>
          <w:tcPr>
            <w:tcW w:w="1222" w:type="pct"/>
            <w:gridSpan w:val="2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MM PBSA</w:t>
            </w: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zh-CN"/>
              </w:rPr>
              <w:t>#</w:t>
            </w: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 (Polar and Total)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Non-Polar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Polar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Non- polar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Polar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Polar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Total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</w:t>
            </w: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zh-CN"/>
              </w:rPr>
              <w:t>§</w:t>
            </w:r>
          </w:p>
        </w:tc>
        <w:tc>
          <w:tcPr>
            <w:tcW w:w="5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-177.4</w:t>
            </w:r>
          </w:p>
        </w:tc>
        <w:tc>
          <w:tcPr>
            <w:tcW w:w="42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-43.3</w:t>
            </w:r>
          </w:p>
        </w:tc>
        <w:tc>
          <w:tcPr>
            <w:tcW w:w="56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-220.7</w:t>
            </w:r>
          </w:p>
        </w:tc>
        <w:tc>
          <w:tcPr>
            <w:tcW w:w="707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-289.8 (13.9)</w:t>
            </w:r>
          </w:p>
        </w:tc>
        <w:tc>
          <w:tcPr>
            <w:tcW w:w="7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-85.1 (15.4)</w:t>
            </w:r>
          </w:p>
        </w:tc>
        <w:tc>
          <w:tcPr>
            <w:tcW w:w="660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-374.8 (13.2)</w:t>
            </w:r>
          </w:p>
        </w:tc>
        <w:tc>
          <w:tcPr>
            <w:tcW w:w="613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-62.3 (13.1)</w:t>
            </w:r>
          </w:p>
        </w:tc>
        <w:tc>
          <w:tcPr>
            <w:tcW w:w="609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-352.1 (11.9)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-180.1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-32.5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-212.6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-264.4 (8.7)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-60.6 (17.9)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-324.9 (18.7)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-168.8</w:t>
            </w:r>
          </w:p>
        </w:tc>
        <w:tc>
          <w:tcPr>
            <w:tcW w:w="42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-41.6</w:t>
            </w:r>
          </w:p>
        </w:tc>
        <w:tc>
          <w:tcPr>
            <w:tcW w:w="56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-210.4</w:t>
            </w:r>
          </w:p>
        </w:tc>
        <w:tc>
          <w:tcPr>
            <w:tcW w:w="707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-288.6 (12.8)</w:t>
            </w:r>
          </w:p>
        </w:tc>
        <w:tc>
          <w:tcPr>
            <w:tcW w:w="7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-101.6 (13.8)</w:t>
            </w:r>
          </w:p>
        </w:tc>
        <w:tc>
          <w:tcPr>
            <w:tcW w:w="660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-390.2 (15.0)</w:t>
            </w:r>
          </w:p>
        </w:tc>
        <w:tc>
          <w:tcPr>
            <w:tcW w:w="613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-32.9 (14.1)</w:t>
            </w:r>
          </w:p>
        </w:tc>
        <w:tc>
          <w:tcPr>
            <w:tcW w:w="609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-321.5 (14.5)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-180.8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-28.7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-209.5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-262.6 (9.0)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-77.1 (13.6)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-339.8 (14.7)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-157.6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-48.2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-205.8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-264.5 (10.9)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-93.3 (15.8)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-357.9 (18.0)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-165.9</w:t>
            </w:r>
          </w:p>
        </w:tc>
        <w:tc>
          <w:tcPr>
            <w:tcW w:w="42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-39.8</w:t>
            </w:r>
          </w:p>
        </w:tc>
        <w:tc>
          <w:tcPr>
            <w:tcW w:w="56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-205.6</w:t>
            </w:r>
          </w:p>
        </w:tc>
        <w:tc>
          <w:tcPr>
            <w:tcW w:w="707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-281.8 (11.4)</w:t>
            </w:r>
          </w:p>
        </w:tc>
        <w:tc>
          <w:tcPr>
            <w:tcW w:w="7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-114.9 (15.6)</w:t>
            </w:r>
          </w:p>
        </w:tc>
        <w:tc>
          <w:tcPr>
            <w:tcW w:w="660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-396.7 (18.5)</w:t>
            </w:r>
          </w:p>
        </w:tc>
        <w:tc>
          <w:tcPr>
            <w:tcW w:w="613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-70.0 (10.7)</w:t>
            </w:r>
          </w:p>
        </w:tc>
        <w:tc>
          <w:tcPr>
            <w:tcW w:w="609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 xml:space="preserve">-351.8 (14.8) 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-170.5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-31.4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-201.9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-267.6 (12.6)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-69.0 (13.1)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-336.6 (15.2)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-174.7</w:t>
            </w:r>
          </w:p>
        </w:tc>
        <w:tc>
          <w:tcPr>
            <w:tcW w:w="42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-26.3</w:t>
            </w:r>
          </w:p>
        </w:tc>
        <w:tc>
          <w:tcPr>
            <w:tcW w:w="564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-201.0</w:t>
            </w:r>
          </w:p>
        </w:tc>
        <w:tc>
          <w:tcPr>
            <w:tcW w:w="707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-266.8 (9.7)</w:t>
            </w:r>
          </w:p>
        </w:tc>
        <w:tc>
          <w:tcPr>
            <w:tcW w:w="707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-111.4 (17.7)</w:t>
            </w:r>
          </w:p>
        </w:tc>
        <w:tc>
          <w:tcPr>
            <w:tcW w:w="660" w:type="pct"/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-378.2 (15.7)</w:t>
            </w:r>
          </w:p>
        </w:tc>
        <w:tc>
          <w:tcPr>
            <w:tcW w:w="613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-71.7 (14.1)</w:t>
            </w:r>
          </w:p>
        </w:tc>
        <w:tc>
          <w:tcPr>
            <w:tcW w:w="609" w:type="pct"/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-338.5 (12.7)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-186.7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-12.7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-199.5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-284.0 (15.1)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-57.4 (11.0)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-341.4 (14.6)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-192.1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-7.2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-199.4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-283.7 (9.0)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-54.2 (11.8)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-337.9 (11.4)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-167.7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-30.3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-198.0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-255.5 (10.2)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-84.0 (14.1)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-339.5 (12.2)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-186.0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-12.0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-197.9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-275.6 (9.7)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-119.1 (12.2)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-394.8 (11.1)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-77.8 (8.5)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-353.4 (9.1)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-164.8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-32.3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-197.0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-275.3 (9.7)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-99.4 (11.9)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-374.7 (14.2)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-46.6 (8.7)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-321.9 (11.9)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-184.5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-12.4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-196.8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-278.5 (9.8)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-140.0 (14.7)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-418.5 (15.2)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-71.5 (11.1)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-350.1 (10.9)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-161.5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-35.0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-196.5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-290.2 (11.8)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-82.5 (14.8)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-372.7 (14.5)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-52.8 (10.3)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-342.9 (12.8)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507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-207.3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564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-195.7</w:t>
            </w:r>
          </w:p>
        </w:tc>
        <w:tc>
          <w:tcPr>
            <w:tcW w:w="707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-252.1 (9.2)</w:t>
            </w:r>
          </w:p>
        </w:tc>
        <w:tc>
          <w:tcPr>
            <w:tcW w:w="707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-85.3 (13.0)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-337.3 (11.2)</w:t>
            </w:r>
          </w:p>
        </w:tc>
        <w:tc>
          <w:tcPr>
            <w:tcW w:w="613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shd w:val="clear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5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-169.5</w:t>
            </w:r>
          </w:p>
        </w:tc>
        <w:tc>
          <w:tcPr>
            <w:tcW w:w="424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-26.1</w:t>
            </w:r>
          </w:p>
        </w:tc>
        <w:tc>
          <w:tcPr>
            <w:tcW w:w="564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-195.6</w:t>
            </w:r>
          </w:p>
        </w:tc>
        <w:tc>
          <w:tcPr>
            <w:tcW w:w="7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-288.6 (13.0)</w:t>
            </w:r>
          </w:p>
        </w:tc>
        <w:tc>
          <w:tcPr>
            <w:tcW w:w="7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-94.5 (15.1)</w:t>
            </w:r>
          </w:p>
        </w:tc>
        <w:tc>
          <w:tcPr>
            <w:tcW w:w="660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-383.1 (16.4)</w:t>
            </w:r>
          </w:p>
        </w:tc>
        <w:tc>
          <w:tcPr>
            <w:tcW w:w="613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-28.1 (14.4)</w:t>
            </w:r>
          </w:p>
        </w:tc>
        <w:tc>
          <w:tcPr>
            <w:tcW w:w="609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-316.7 (12.4)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5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-186.8</w:t>
            </w:r>
          </w:p>
        </w:tc>
        <w:tc>
          <w:tcPr>
            <w:tcW w:w="424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-8.4</w:t>
            </w:r>
          </w:p>
        </w:tc>
        <w:tc>
          <w:tcPr>
            <w:tcW w:w="564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-195.2</w:t>
            </w:r>
          </w:p>
        </w:tc>
        <w:tc>
          <w:tcPr>
            <w:tcW w:w="7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-288.1 (11.0)</w:t>
            </w:r>
          </w:p>
        </w:tc>
        <w:tc>
          <w:tcPr>
            <w:tcW w:w="707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-89.4 (13.2)</w:t>
            </w:r>
          </w:p>
        </w:tc>
        <w:tc>
          <w:tcPr>
            <w:tcW w:w="660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-377.5 (17.4)</w:t>
            </w:r>
          </w:p>
        </w:tc>
        <w:tc>
          <w:tcPr>
            <w:tcW w:w="613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-35.2 (11.5)</w:t>
            </w:r>
          </w:p>
        </w:tc>
        <w:tc>
          <w:tcPr>
            <w:tcW w:w="609" w:type="pct"/>
            <w:shd w:val="pct10" w:color="auto" w:fill="FFFFFF" w:themeFill="background1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-323.3 (13.2)</w:t>
            </w:r>
          </w:p>
        </w:tc>
      </w:tr>
      <w:tr w:rsidR="004A43A9" w:rsidRPr="007159DE" w:rsidTr="00F0645F">
        <w:trPr>
          <w:trHeight w:val="300"/>
        </w:trPr>
        <w:tc>
          <w:tcPr>
            <w:tcW w:w="209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-189.5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-5.6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-195.1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-270.6 (9.7)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-66.9 (11.5)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-337.4 (12.3)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A43A9" w:rsidRPr="007159DE" w:rsidRDefault="004A43A9" w:rsidP="00F0645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</w:pPr>
            <w:r w:rsidRPr="007159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zh-CN"/>
              </w:rPr>
              <w:t>-</w:t>
            </w:r>
          </w:p>
        </w:tc>
      </w:tr>
    </w:tbl>
    <w:p w:rsidR="004A43A9" w:rsidRPr="007159DE" w:rsidRDefault="004A43A9" w:rsidP="004A4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4557" w:rsidRDefault="004A43A9" w:rsidP="004A43A9">
      <w:pPr>
        <w:spacing w:after="0" w:line="360" w:lineRule="auto"/>
        <w:jc w:val="both"/>
      </w:pPr>
      <w:r w:rsidRPr="007159DE">
        <w:rPr>
          <w:rFonts w:ascii="Times New Roman" w:hAnsi="Times New Roman"/>
          <w:color w:val="000000" w:themeColor="text1"/>
          <w:sz w:val="24"/>
          <w:szCs w:val="24"/>
        </w:rPr>
        <w:t>The binding free energies (kcal/mol) are calculated as described in Methods. The numbering</w:t>
      </w:r>
      <w:r w:rsidRPr="007159D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zh-CN"/>
        </w:rPr>
        <w:t>§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(1-19) is sorted according to the total binding free energy, using the PBSA approximation, of the docked complexes after minimization, referred as step 4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¶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; the total binding free energy is the sum of non-polar and polar contributions of step 4. The MD simulation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†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results correspond to the average binding free energies of the 19 complexes based on 20-ns MD simulation runs, referred as step 6, and were calculated both using MM GBSA </w:t>
      </w:r>
      <w:r w:rsidRPr="007159DE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zh-CN"/>
        </w:rPr>
        <w:t xml:space="preserve">ǂ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and MM PBSA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#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. The standard deviation is shown in parentheses. The non-polar component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‡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is the same in MM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GBSA</w:t>
      </w:r>
      <w:r w:rsidRPr="007159DE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zh-CN"/>
        </w:rPr>
        <w:t>ǂ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and MM GBSA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#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. For each calculation, MM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GBSA</w:t>
      </w:r>
      <w:r w:rsidRPr="007159DE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zh-CN"/>
        </w:rPr>
        <w:t>ǂ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or MM PBSA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#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, the polar component is calculated using a different approach, thus, the total binding free energy, which is the sum of polar and non-polar contributions for each </w:t>
      </w:r>
      <w:proofErr w:type="gramStart"/>
      <w:r w:rsidRPr="007159DE">
        <w:rPr>
          <w:rFonts w:ascii="Times New Roman" w:hAnsi="Times New Roman"/>
          <w:color w:val="000000" w:themeColor="text1"/>
          <w:sz w:val="24"/>
          <w:szCs w:val="24"/>
        </w:rPr>
        <w:t>approach</w:t>
      </w:r>
      <w:proofErr w:type="gram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is different, as well. MM PBSA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#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was applied to Complex 14,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lastRenderedPageBreak/>
        <w:t>and additionally to Complexes 1, 3, 6, 8, 12, 13, 14, 15, 17, 18 only, as these complexes possessed a binding free energy within a (</w:t>
      </w:r>
      <w:r w:rsidRPr="007159DE">
        <w:rPr>
          <w:rFonts w:ascii="Times New Roman" w:hAnsi="Times New Roman"/>
          <w:color w:val="000000" w:themeColor="text1"/>
          <w:sz w:val="24"/>
          <w:szCs w:val="24"/>
          <w:lang w:val="el-GR"/>
        </w:rPr>
        <w:t>ΔΔ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G) range of 50 kcal/mol of Complex14, with regard to MM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GBSA</w:t>
      </w:r>
      <w:r w:rsidRPr="007159DE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zh-CN"/>
        </w:rPr>
        <w:t>ǂ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. According to MM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GBSA</w:t>
      </w:r>
      <w:r w:rsidRPr="007159DE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zh-CN"/>
        </w:rPr>
        <w:t>ǂ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, the average total binding free energy of the Complex 14, marked in </w:t>
      </w:r>
      <w:r w:rsidRPr="007159DE">
        <w:rPr>
          <w:rFonts w:ascii="Times New Roman" w:hAnsi="Times New Roman"/>
          <w:b/>
          <w:color w:val="000000" w:themeColor="text1"/>
          <w:sz w:val="24"/>
          <w:szCs w:val="24"/>
        </w:rPr>
        <w:t>bold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face, is the lowest, and is by ≈22 and ≈24 kcal/mol (</w:t>
      </w:r>
      <w:r w:rsidRPr="007159DE">
        <w:rPr>
          <w:rFonts w:ascii="Times New Roman" w:hAnsi="Times New Roman"/>
          <w:color w:val="000000" w:themeColor="text1"/>
          <w:sz w:val="24"/>
          <w:szCs w:val="24"/>
          <w:lang w:val="el-GR"/>
        </w:rPr>
        <w:t>ΔΔ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G) lower compared to Complexes 6 and 12, respectively. According to MM PBSA</w:t>
      </w:r>
      <w:r w:rsidRPr="007159D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#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, the binding free energy of Complex 14 is comparable to the binding free energies of Complexes 1, 6 and 12. </w:t>
      </w:r>
      <w:r w:rsidRPr="007159DE">
        <w:rPr>
          <w:rFonts w:ascii="Times New Roman" w:eastAsia="AdvP7627" w:hAnsi="Times New Roman"/>
          <w:color w:val="000000" w:themeColor="text1"/>
          <w:sz w:val="24"/>
          <w:szCs w:val="24"/>
          <w:lang w:eastAsia="zh-CN"/>
        </w:rPr>
        <w:t>All values have been computed by analysis of 1000 snapshots, extracted from the 20-ns simulation (of all complexes), at 20-ps intervals. The analysis was performed using CHARMM</w:t>
      </w:r>
      <w:bookmarkStart w:id="1" w:name="_Ref375155903"/>
      <w:r w:rsidRPr="007159DE">
        <w:rPr>
          <w:rStyle w:val="EndnoteReference"/>
          <w:rFonts w:ascii="Times New Roman" w:eastAsia="AdvP7627" w:hAnsi="Times New Roman"/>
          <w:color w:val="000000" w:themeColor="text1"/>
          <w:sz w:val="24"/>
          <w:szCs w:val="24"/>
          <w:lang w:eastAsia="zh-CN"/>
        </w:rPr>
        <w:endnoteReference w:id="1"/>
      </w:r>
      <w:bookmarkEnd w:id="1"/>
      <w:r>
        <w:rPr>
          <w:rFonts w:ascii="Times New Roman" w:eastAsia="AdvP7627" w:hAnsi="Times New Roman"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Pr="007159DE">
        <w:rPr>
          <w:rFonts w:ascii="Times New Roman" w:eastAsia="AdvP7627" w:hAnsi="Times New Roman"/>
          <w:color w:val="000000" w:themeColor="text1"/>
          <w:sz w:val="24"/>
          <w:szCs w:val="24"/>
          <w:lang w:eastAsia="zh-CN"/>
        </w:rPr>
        <w:t>and in-house FORTRAN programs.</w:t>
      </w:r>
    </w:p>
    <w:sectPr w:rsidR="00B6455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CC" w:rsidRDefault="009F0ECC" w:rsidP="004A43A9">
      <w:pPr>
        <w:spacing w:after="0" w:line="240" w:lineRule="auto"/>
      </w:pPr>
      <w:r>
        <w:separator/>
      </w:r>
    </w:p>
  </w:endnote>
  <w:endnote w:type="continuationSeparator" w:id="0">
    <w:p w:rsidR="009F0ECC" w:rsidRDefault="009F0ECC" w:rsidP="004A43A9">
      <w:pPr>
        <w:spacing w:after="0" w:line="240" w:lineRule="auto"/>
      </w:pPr>
      <w:r>
        <w:continuationSeparator/>
      </w:r>
    </w:p>
  </w:endnote>
  <w:endnote w:id="1">
    <w:p w:rsidR="004A43A9" w:rsidRPr="00890394" w:rsidRDefault="004A43A9" w:rsidP="004A43A9">
      <w:pPr>
        <w:pStyle w:val="EndnoteText"/>
        <w:jc w:val="both"/>
        <w:rPr>
          <w:color w:val="000000" w:themeColor="text1"/>
        </w:rPr>
      </w:pPr>
      <w:r w:rsidRPr="00890394">
        <w:rPr>
          <w:rStyle w:val="EndnoteReference"/>
          <w:color w:val="000000" w:themeColor="text1"/>
          <w:sz w:val="24"/>
          <w:szCs w:val="24"/>
        </w:rPr>
        <w:endnoteRef/>
      </w:r>
      <w:r w:rsidRPr="00890394">
        <w:rPr>
          <w:color w:val="000000" w:themeColor="text1"/>
          <w:sz w:val="24"/>
          <w:szCs w:val="24"/>
        </w:rPr>
        <w:t xml:space="preserve">. Brooks BR, Brooks CL III, </w:t>
      </w:r>
      <w:proofErr w:type="spellStart"/>
      <w:r w:rsidRPr="00890394">
        <w:rPr>
          <w:color w:val="000000" w:themeColor="text1"/>
          <w:sz w:val="24"/>
          <w:szCs w:val="24"/>
        </w:rPr>
        <w:t>Mackerell</w:t>
      </w:r>
      <w:proofErr w:type="spellEnd"/>
      <w:r w:rsidRPr="00890394">
        <w:rPr>
          <w:color w:val="000000" w:themeColor="text1"/>
          <w:sz w:val="24"/>
          <w:szCs w:val="24"/>
        </w:rPr>
        <w:t xml:space="preserve"> AD Jr, Nilsson L,  </w:t>
      </w:r>
      <w:proofErr w:type="spellStart"/>
      <w:r w:rsidRPr="00890394">
        <w:rPr>
          <w:color w:val="000000" w:themeColor="text1"/>
          <w:sz w:val="24"/>
          <w:szCs w:val="24"/>
        </w:rPr>
        <w:t>Petrella</w:t>
      </w:r>
      <w:proofErr w:type="spellEnd"/>
      <w:r w:rsidRPr="00890394">
        <w:rPr>
          <w:color w:val="000000" w:themeColor="text1"/>
          <w:sz w:val="24"/>
          <w:szCs w:val="24"/>
        </w:rPr>
        <w:t xml:space="preserve"> RJ, Roux B, Won Y, </w:t>
      </w:r>
      <w:proofErr w:type="spellStart"/>
      <w:r w:rsidRPr="00890394">
        <w:rPr>
          <w:color w:val="000000" w:themeColor="text1"/>
          <w:sz w:val="24"/>
          <w:szCs w:val="24"/>
        </w:rPr>
        <w:t>Archontis</w:t>
      </w:r>
      <w:proofErr w:type="spellEnd"/>
      <w:r w:rsidRPr="00890394">
        <w:rPr>
          <w:color w:val="000000" w:themeColor="text1"/>
          <w:sz w:val="24"/>
          <w:szCs w:val="24"/>
        </w:rPr>
        <w:t xml:space="preserve"> G, Bartels C, </w:t>
      </w:r>
      <w:proofErr w:type="spellStart"/>
      <w:r w:rsidRPr="00890394">
        <w:rPr>
          <w:color w:val="000000" w:themeColor="text1"/>
          <w:sz w:val="24"/>
          <w:szCs w:val="24"/>
        </w:rPr>
        <w:t>Boresch</w:t>
      </w:r>
      <w:proofErr w:type="spellEnd"/>
      <w:r w:rsidRPr="00890394">
        <w:rPr>
          <w:color w:val="000000" w:themeColor="text1"/>
          <w:sz w:val="24"/>
          <w:szCs w:val="24"/>
        </w:rPr>
        <w:t xml:space="preserve"> S, </w:t>
      </w:r>
      <w:proofErr w:type="spellStart"/>
      <w:r w:rsidRPr="00890394">
        <w:rPr>
          <w:color w:val="000000" w:themeColor="text1"/>
          <w:sz w:val="24"/>
          <w:szCs w:val="24"/>
        </w:rPr>
        <w:t>Caflisch</w:t>
      </w:r>
      <w:proofErr w:type="spellEnd"/>
      <w:r w:rsidRPr="00890394">
        <w:rPr>
          <w:color w:val="000000" w:themeColor="text1"/>
          <w:sz w:val="24"/>
          <w:szCs w:val="24"/>
        </w:rPr>
        <w:t xml:space="preserve"> A, Caves L, Cui Q, Dinner AR </w:t>
      </w:r>
      <w:proofErr w:type="spellStart"/>
      <w:r w:rsidRPr="00890394">
        <w:rPr>
          <w:color w:val="000000" w:themeColor="text1"/>
          <w:sz w:val="24"/>
          <w:szCs w:val="24"/>
        </w:rPr>
        <w:t>Feig</w:t>
      </w:r>
      <w:proofErr w:type="spellEnd"/>
      <w:r w:rsidRPr="00890394">
        <w:rPr>
          <w:color w:val="000000" w:themeColor="text1"/>
          <w:sz w:val="24"/>
          <w:szCs w:val="24"/>
        </w:rPr>
        <w:t xml:space="preserve">, M, Fischer S, Gao J, </w:t>
      </w:r>
      <w:proofErr w:type="spellStart"/>
      <w:r w:rsidRPr="00890394">
        <w:rPr>
          <w:color w:val="000000" w:themeColor="text1"/>
          <w:sz w:val="24"/>
          <w:szCs w:val="24"/>
        </w:rPr>
        <w:t>Hodoscek</w:t>
      </w:r>
      <w:proofErr w:type="spellEnd"/>
      <w:r w:rsidRPr="00890394">
        <w:rPr>
          <w:color w:val="000000" w:themeColor="text1"/>
          <w:sz w:val="24"/>
          <w:szCs w:val="24"/>
        </w:rPr>
        <w:t xml:space="preserve"> M, </w:t>
      </w:r>
      <w:proofErr w:type="spellStart"/>
      <w:r w:rsidRPr="00890394">
        <w:rPr>
          <w:color w:val="000000" w:themeColor="text1"/>
          <w:sz w:val="24"/>
          <w:szCs w:val="24"/>
        </w:rPr>
        <w:t>Im</w:t>
      </w:r>
      <w:proofErr w:type="spellEnd"/>
      <w:r w:rsidRPr="00890394">
        <w:rPr>
          <w:color w:val="000000" w:themeColor="text1"/>
          <w:sz w:val="24"/>
          <w:szCs w:val="24"/>
        </w:rPr>
        <w:t xml:space="preserve"> W, </w:t>
      </w:r>
      <w:proofErr w:type="spellStart"/>
      <w:r w:rsidRPr="00890394">
        <w:rPr>
          <w:color w:val="000000" w:themeColor="text1"/>
          <w:sz w:val="24"/>
          <w:szCs w:val="24"/>
        </w:rPr>
        <w:t>Kuczera</w:t>
      </w:r>
      <w:proofErr w:type="spellEnd"/>
      <w:r w:rsidRPr="00890394">
        <w:rPr>
          <w:color w:val="000000" w:themeColor="text1"/>
          <w:sz w:val="24"/>
          <w:szCs w:val="24"/>
        </w:rPr>
        <w:t xml:space="preserve"> K, </w:t>
      </w:r>
      <w:proofErr w:type="spellStart"/>
      <w:r w:rsidRPr="00890394">
        <w:rPr>
          <w:color w:val="000000" w:themeColor="text1"/>
          <w:sz w:val="24"/>
          <w:szCs w:val="24"/>
        </w:rPr>
        <w:t>Lazaridis</w:t>
      </w:r>
      <w:proofErr w:type="spellEnd"/>
      <w:r w:rsidRPr="00890394">
        <w:rPr>
          <w:color w:val="000000" w:themeColor="text1"/>
          <w:sz w:val="24"/>
          <w:szCs w:val="24"/>
        </w:rPr>
        <w:t xml:space="preserve"> T, Ma J, </w:t>
      </w:r>
      <w:proofErr w:type="spellStart"/>
      <w:r w:rsidRPr="00890394">
        <w:rPr>
          <w:color w:val="000000" w:themeColor="text1"/>
          <w:sz w:val="24"/>
          <w:szCs w:val="24"/>
        </w:rPr>
        <w:t>Ovchinnikov</w:t>
      </w:r>
      <w:proofErr w:type="spellEnd"/>
      <w:r w:rsidRPr="00890394">
        <w:rPr>
          <w:color w:val="000000" w:themeColor="text1"/>
          <w:sz w:val="24"/>
          <w:szCs w:val="24"/>
        </w:rPr>
        <w:t xml:space="preserve"> V, </w:t>
      </w:r>
      <w:proofErr w:type="spellStart"/>
      <w:r w:rsidRPr="00890394">
        <w:rPr>
          <w:color w:val="000000" w:themeColor="text1"/>
          <w:sz w:val="24"/>
          <w:szCs w:val="24"/>
        </w:rPr>
        <w:t>Paci</w:t>
      </w:r>
      <w:proofErr w:type="spellEnd"/>
      <w:r w:rsidRPr="00890394">
        <w:rPr>
          <w:color w:val="000000" w:themeColor="text1"/>
          <w:sz w:val="24"/>
          <w:szCs w:val="24"/>
        </w:rPr>
        <w:t xml:space="preserve"> E, Pastor RW, Post CB, Pu JZ, Schaefer M, </w:t>
      </w:r>
      <w:proofErr w:type="spellStart"/>
      <w:r w:rsidRPr="00890394">
        <w:rPr>
          <w:color w:val="000000" w:themeColor="text1"/>
          <w:sz w:val="24"/>
          <w:szCs w:val="24"/>
        </w:rPr>
        <w:t>Tidor</w:t>
      </w:r>
      <w:proofErr w:type="spellEnd"/>
      <w:r w:rsidRPr="00890394">
        <w:rPr>
          <w:color w:val="000000" w:themeColor="text1"/>
          <w:sz w:val="24"/>
          <w:szCs w:val="24"/>
        </w:rPr>
        <w:t xml:space="preserve"> B, Venable RM, Woodcock HL, Wu X, Yang W, York DM, Karplus MJ. (2009) CHARMM: the </w:t>
      </w:r>
      <w:proofErr w:type="spellStart"/>
      <w:r w:rsidRPr="00890394">
        <w:rPr>
          <w:color w:val="000000" w:themeColor="text1"/>
          <w:sz w:val="24"/>
          <w:szCs w:val="24"/>
        </w:rPr>
        <w:t>biomolecular</w:t>
      </w:r>
      <w:proofErr w:type="spellEnd"/>
      <w:r w:rsidRPr="00890394">
        <w:rPr>
          <w:color w:val="000000" w:themeColor="text1"/>
          <w:sz w:val="24"/>
          <w:szCs w:val="24"/>
        </w:rPr>
        <w:t xml:space="preserve"> simulation program. </w:t>
      </w:r>
      <w:r w:rsidRPr="00890394">
        <w:rPr>
          <w:iCs/>
          <w:color w:val="000000" w:themeColor="text1"/>
          <w:sz w:val="24"/>
          <w:szCs w:val="24"/>
        </w:rPr>
        <w:t xml:space="preserve">J </w:t>
      </w:r>
      <w:proofErr w:type="spellStart"/>
      <w:r w:rsidRPr="00890394">
        <w:rPr>
          <w:iCs/>
          <w:color w:val="000000" w:themeColor="text1"/>
          <w:sz w:val="24"/>
          <w:szCs w:val="24"/>
        </w:rPr>
        <w:t>Comput</w:t>
      </w:r>
      <w:proofErr w:type="spellEnd"/>
      <w:r w:rsidRPr="0089039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90394">
        <w:rPr>
          <w:iCs/>
          <w:color w:val="000000" w:themeColor="text1"/>
          <w:sz w:val="24"/>
          <w:szCs w:val="24"/>
        </w:rPr>
        <w:t>Chem</w:t>
      </w:r>
      <w:proofErr w:type="spellEnd"/>
      <w:r w:rsidRPr="00890394">
        <w:rPr>
          <w:color w:val="000000" w:themeColor="text1"/>
          <w:sz w:val="24"/>
          <w:szCs w:val="24"/>
        </w:rPr>
        <w:t xml:space="preserve"> 30: 1545–1614</w:t>
      </w:r>
      <w:r w:rsidRPr="00890394">
        <w:rPr>
          <w:color w:val="000000" w:themeColor="text1"/>
          <w:sz w:val="24"/>
          <w:szCs w:val="24"/>
          <w:lang w:eastAsia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P7627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CC" w:rsidRDefault="009F0ECC" w:rsidP="004A43A9">
      <w:pPr>
        <w:spacing w:after="0" w:line="240" w:lineRule="auto"/>
      </w:pPr>
      <w:r>
        <w:separator/>
      </w:r>
    </w:p>
  </w:footnote>
  <w:footnote w:type="continuationSeparator" w:id="0">
    <w:p w:rsidR="009F0ECC" w:rsidRDefault="009F0ECC" w:rsidP="004A4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AA"/>
    <w:rsid w:val="001800EB"/>
    <w:rsid w:val="00217D7D"/>
    <w:rsid w:val="004A43A9"/>
    <w:rsid w:val="009F0ECC"/>
    <w:rsid w:val="00A66B65"/>
    <w:rsid w:val="00A957AA"/>
    <w:rsid w:val="00B64557"/>
    <w:rsid w:val="00BF29CF"/>
    <w:rsid w:val="00E71011"/>
    <w:rsid w:val="00F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A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4A43A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rsid w:val="004A43A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unhideWhenUsed/>
    <w:rsid w:val="004A4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A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4A43A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rsid w:val="004A43A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unhideWhenUsed/>
    <w:rsid w:val="004A4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Phanourios</dc:creator>
  <cp:keywords/>
  <dc:description/>
  <cp:lastModifiedBy>Phanourios</cp:lastModifiedBy>
  <cp:revision>5</cp:revision>
  <dcterms:created xsi:type="dcterms:W3CDTF">2014-04-02T15:44:00Z</dcterms:created>
  <dcterms:modified xsi:type="dcterms:W3CDTF">2014-04-08T14:45:00Z</dcterms:modified>
</cp:coreProperties>
</file>