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7A" w:rsidRDefault="0015397A" w:rsidP="0015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Information </w:t>
      </w:r>
      <w:r w:rsidR="00CC2407">
        <w:rPr>
          <w:rFonts w:ascii="Times New Roman" w:hAnsi="Times New Roman"/>
          <w:b/>
          <w:i/>
          <w:color w:val="000000" w:themeColor="text1"/>
          <w:sz w:val="24"/>
          <w:szCs w:val="24"/>
        </w:rPr>
        <w:t>S</w:t>
      </w:r>
      <w:r w:rsidR="00D33BED">
        <w:rPr>
          <w:rFonts w:ascii="Times New Roman" w:hAnsi="Times New Roman"/>
          <w:b/>
          <w:i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15397A" w:rsidRPr="007159DE" w:rsidRDefault="0015397A" w:rsidP="0015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159DE">
        <w:rPr>
          <w:rFonts w:ascii="Times New Roman" w:hAnsi="Times New Roman"/>
          <w:b/>
          <w:i/>
          <w:color w:val="000000" w:themeColor="text1"/>
          <w:sz w:val="24"/>
          <w:szCs w:val="24"/>
        </w:rPr>
        <w:t>Definit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ion of CCR5 and V3 loop domains</w:t>
      </w:r>
      <w:r w:rsidR="00BE74BD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B64557" w:rsidRPr="004B11F9" w:rsidRDefault="0015397A" w:rsidP="004B1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59DE">
        <w:rPr>
          <w:rFonts w:ascii="Times New Roman" w:hAnsi="Times New Roman"/>
          <w:color w:val="000000" w:themeColor="text1"/>
          <w:sz w:val="24"/>
          <w:szCs w:val="24"/>
        </w:rPr>
        <w:t>CCR5 residues, denoted in brackets, can be approximately divided into the following domains:  (</w:t>
      </w:r>
      <w:proofErr w:type="spellStart"/>
      <w:r w:rsidRPr="007159DE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7159DE">
        <w:rPr>
          <w:rFonts w:ascii="Times New Roman" w:hAnsi="Times New Roman"/>
          <w:color w:val="000000" w:themeColor="text1"/>
          <w:sz w:val="24"/>
          <w:szCs w:val="24"/>
        </w:rPr>
        <w:t>) N-terminal domain [1:27], (ii) Transmembrane helix 1</w:t>
      </w:r>
      <w:r w:rsidR="00A96500">
        <w:rPr>
          <w:rFonts w:ascii="Times New Roman" w:hAnsi="Times New Roman"/>
          <w:color w:val="000000" w:themeColor="text1"/>
          <w:sz w:val="24"/>
          <w:szCs w:val="24"/>
        </w:rPr>
        <w:t xml:space="preserve"> (TH1)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[28:59]; (iii) Intracellular loop 1 </w:t>
      </w:r>
      <w:r w:rsidR="00A96500">
        <w:rPr>
          <w:rFonts w:ascii="Times New Roman" w:hAnsi="Times New Roman"/>
          <w:color w:val="000000" w:themeColor="text1"/>
          <w:sz w:val="24"/>
          <w:szCs w:val="24"/>
        </w:rPr>
        <w:t xml:space="preserve">(ICL1)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>[60:65]; (iv) Transmembrane helix 2</w:t>
      </w:r>
      <w:r w:rsidR="00A96500">
        <w:rPr>
          <w:rFonts w:ascii="Times New Roman" w:hAnsi="Times New Roman"/>
          <w:color w:val="000000" w:themeColor="text1"/>
          <w:sz w:val="24"/>
          <w:szCs w:val="24"/>
        </w:rPr>
        <w:t xml:space="preserve"> (TH2)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[66:89], (v) Extracellular loop 1 (ECL1) [90:97]; (vi) Transmembrane helix 3 </w:t>
      </w:r>
      <w:r w:rsidR="00A96500">
        <w:rPr>
          <w:rFonts w:ascii="Times New Roman" w:hAnsi="Times New Roman"/>
          <w:color w:val="000000" w:themeColor="text1"/>
          <w:sz w:val="24"/>
          <w:szCs w:val="24"/>
        </w:rPr>
        <w:t xml:space="preserve">(TH3)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[98:132]; (vii) Intracellular loop 2 </w:t>
      </w:r>
      <w:r w:rsidR="00A96500">
        <w:rPr>
          <w:rFonts w:ascii="Times New Roman" w:hAnsi="Times New Roman"/>
          <w:color w:val="000000" w:themeColor="text1"/>
          <w:sz w:val="24"/>
          <w:szCs w:val="24"/>
        </w:rPr>
        <w:t xml:space="preserve">(ICL2)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>[133:139]; (viii)</w:t>
      </w:r>
      <w:r w:rsidR="004E1E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Transmembrane helix 4 </w:t>
      </w:r>
      <w:r w:rsidR="004E1EF9">
        <w:rPr>
          <w:rFonts w:ascii="Times New Roman" w:hAnsi="Times New Roman"/>
          <w:color w:val="000000" w:themeColor="text1"/>
          <w:sz w:val="24"/>
          <w:szCs w:val="24"/>
        </w:rPr>
        <w:t xml:space="preserve">(TH4)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[140:166]; (ix) Extracellular loop 2 (ECL2) [167:188]; (x) Transmembrane helix </w:t>
      </w:r>
      <w:r w:rsidR="00A96500">
        <w:rPr>
          <w:rFonts w:ascii="Times New Roman" w:hAnsi="Times New Roman"/>
          <w:color w:val="000000" w:themeColor="text1"/>
          <w:sz w:val="24"/>
          <w:szCs w:val="24"/>
        </w:rPr>
        <w:t>(TH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9650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[189:219]; (xi) Intracellular loop 3</w:t>
      </w:r>
      <w:r w:rsidR="00A96500">
        <w:rPr>
          <w:rFonts w:ascii="Times New Roman" w:hAnsi="Times New Roman"/>
          <w:color w:val="000000" w:themeColor="text1"/>
          <w:sz w:val="24"/>
          <w:szCs w:val="24"/>
        </w:rPr>
        <w:t xml:space="preserve"> (ICL3)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[220:231]; (xii) Transmembrane helix 6 </w:t>
      </w:r>
      <w:r w:rsidR="00A96500">
        <w:rPr>
          <w:rFonts w:ascii="Times New Roman" w:hAnsi="Times New Roman"/>
          <w:color w:val="000000" w:themeColor="text1"/>
          <w:sz w:val="24"/>
          <w:szCs w:val="24"/>
        </w:rPr>
        <w:t xml:space="preserve">(TH6)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>[232:262]; (xiii) Extracellular loop 3 (ECL3) [263:274]; (xiv) Transmembrane helix 7</w:t>
      </w:r>
      <w:r w:rsidR="00A96500">
        <w:rPr>
          <w:rFonts w:ascii="Times New Roman" w:hAnsi="Times New Roman"/>
          <w:color w:val="000000" w:themeColor="text1"/>
          <w:sz w:val="24"/>
          <w:szCs w:val="24"/>
        </w:rPr>
        <w:t xml:space="preserve"> (TH7)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[275:301]; (xv) C-terminal domain [302:352]. Regarding the V3 loop, the structure can approximately </w:t>
      </w:r>
      <w:r w:rsidR="005510DD"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be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>divided into the following regions</w:t>
      </w:r>
      <w:r w:rsidR="005510DD">
        <w:rPr>
          <w:rFonts w:ascii="Times New Roman" w:hAnsi="Times New Roman"/>
          <w:color w:val="000000" w:themeColor="text1"/>
          <w:sz w:val="24"/>
          <w:szCs w:val="24"/>
        </w:rPr>
        <w:t>, based on the V3 loop binding to CCR5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>:  (</w:t>
      </w:r>
      <w:proofErr w:type="spellStart"/>
      <w:r w:rsidRPr="007159DE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7159DE">
        <w:rPr>
          <w:rFonts w:ascii="Times New Roman" w:hAnsi="Times New Roman"/>
          <w:color w:val="000000" w:themeColor="text1"/>
          <w:sz w:val="24"/>
          <w:szCs w:val="24"/>
        </w:rPr>
        <w:t>) The base domain [1:4 and 31:35]; (ii) Stems [5:12 and 23:30] (iii) Tip [13:22]. According to the results of this study, the core region of the</w:t>
      </w:r>
      <w:r w:rsidR="004B11F9">
        <w:rPr>
          <w:rFonts w:ascii="Times New Roman" w:hAnsi="Times New Roman"/>
          <w:color w:val="000000" w:themeColor="text1"/>
          <w:sz w:val="24"/>
          <w:szCs w:val="24"/>
        </w:rPr>
        <w:t xml:space="preserve"> tip comprises residues 16-20. </w:t>
      </w:r>
    </w:p>
    <w:sectPr w:rsidR="00B64557" w:rsidRPr="004B1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E5"/>
    <w:rsid w:val="0015397A"/>
    <w:rsid w:val="001961D1"/>
    <w:rsid w:val="004B11F9"/>
    <w:rsid w:val="004E1EF9"/>
    <w:rsid w:val="005510DD"/>
    <w:rsid w:val="00A96500"/>
    <w:rsid w:val="00B64557"/>
    <w:rsid w:val="00BE74BD"/>
    <w:rsid w:val="00CC2407"/>
    <w:rsid w:val="00D33BED"/>
    <w:rsid w:val="00F5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7A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7A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Phanourios</dc:creator>
  <cp:keywords/>
  <dc:description/>
  <cp:lastModifiedBy>Phanourios</cp:lastModifiedBy>
  <cp:revision>11</cp:revision>
  <dcterms:created xsi:type="dcterms:W3CDTF">2014-04-02T15:24:00Z</dcterms:created>
  <dcterms:modified xsi:type="dcterms:W3CDTF">2014-04-08T14:43:00Z</dcterms:modified>
</cp:coreProperties>
</file>