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2E" w:rsidRDefault="00664F2E" w:rsidP="00664F2E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Information </w:t>
      </w:r>
      <w:r w:rsidR="00755677">
        <w:rPr>
          <w:rFonts w:ascii="Times New Roman" w:hAnsi="Times New Roman"/>
          <w:b/>
          <w:i/>
          <w:color w:val="000000" w:themeColor="text1"/>
          <w:sz w:val="24"/>
          <w:szCs w:val="24"/>
        </w:rPr>
        <w:t>S</w:t>
      </w:r>
      <w:r w:rsidR="00926657"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664F2E" w:rsidRPr="007159DE" w:rsidRDefault="00664F2E" w:rsidP="00664F2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59DE">
        <w:rPr>
          <w:rFonts w:ascii="Times New Roman" w:hAnsi="Times New Roman"/>
          <w:b/>
          <w:i/>
          <w:color w:val="000000" w:themeColor="text1"/>
          <w:sz w:val="24"/>
          <w:szCs w:val="24"/>
        </w:rPr>
        <w:t>Insights into the HIV-1 Coreceptor Selectivity:</w:t>
      </w:r>
    </w:p>
    <w:p w:rsidR="00664F2E" w:rsidRPr="007159DE" w:rsidRDefault="00664F2E" w:rsidP="00664F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59DE">
        <w:rPr>
          <w:rFonts w:ascii="Times New Roman" w:hAnsi="Times New Roman"/>
          <w:color w:val="000000" w:themeColor="text1"/>
          <w:sz w:val="24"/>
          <w:szCs w:val="24"/>
        </w:rPr>
        <w:t>We used CD-HIT</w:t>
      </w:r>
      <w:r w:rsidRPr="007159DE">
        <w:rPr>
          <w:rStyle w:val="EndnoteReference"/>
          <w:rFonts w:ascii="Times New Roman" w:hAnsi="Times New Roman"/>
          <w:color w:val="000000" w:themeColor="text1"/>
          <w:sz w:val="24"/>
          <w:szCs w:val="24"/>
        </w:rPr>
        <w:endnoteReference w:id="1"/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to extract the </w:t>
      </w:r>
      <w:r w:rsidR="00AD5155">
        <w:rPr>
          <w:rFonts w:ascii="Times New Roman" w:hAnsi="Times New Roman"/>
          <w:color w:val="000000" w:themeColor="text1"/>
          <w:sz w:val="24"/>
          <w:szCs w:val="24"/>
        </w:rPr>
        <w:t>eight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most populated sequence-based clusters of - only CCR5 - and - only CXCR4 - recognizing 35-residue V3 loops, respectively, from the Los Alamos HIV-1 database (</w:t>
      </w:r>
      <w:hyperlink r:id="rId7" w:history="1">
        <w:r w:rsidRPr="007159D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http://www.hiv.lanl.gov</w:t>
        </w:r>
      </w:hyperlink>
      <w:r w:rsidRPr="007159D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38"/>
        <w:gridCol w:w="4050"/>
        <w:gridCol w:w="810"/>
        <w:gridCol w:w="4140"/>
      </w:tblGrid>
      <w:tr w:rsidR="00664F2E" w:rsidRPr="007159DE" w:rsidTr="00F0645F">
        <w:tc>
          <w:tcPr>
            <w:tcW w:w="738" w:type="dxa"/>
          </w:tcPr>
          <w:p w:rsidR="00664F2E" w:rsidRPr="007159DE" w:rsidRDefault="00664F2E" w:rsidP="00F064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CCR5</w:t>
            </w:r>
          </w:p>
          <w:p w:rsidR="00664F2E" w:rsidRPr="007159DE" w:rsidRDefault="00664F2E" w:rsidP="00F064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Cluster</w:t>
            </w:r>
          </w:p>
        </w:tc>
        <w:tc>
          <w:tcPr>
            <w:tcW w:w="4050" w:type="dxa"/>
            <w:tcBorders>
              <w:right w:val="single" w:sz="18" w:space="0" w:color="auto"/>
            </w:tcBorders>
          </w:tcPr>
          <w:p w:rsidR="00664F2E" w:rsidRPr="007159DE" w:rsidRDefault="00664F2E" w:rsidP="00DC22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CCR5 recognizing V3 loop sequences; the </w:t>
            </w:r>
            <w:r w:rsidR="00DC22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eight</w:t>
            </w:r>
            <w:r w:rsidRPr="0071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most populated 35-residue sequences were selected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64F2E" w:rsidRPr="007159DE" w:rsidRDefault="00664F2E" w:rsidP="00F064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CXCR4</w:t>
            </w:r>
          </w:p>
          <w:p w:rsidR="00664F2E" w:rsidRPr="007159DE" w:rsidRDefault="00664F2E" w:rsidP="00F0645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Cluster</w:t>
            </w:r>
          </w:p>
        </w:tc>
        <w:tc>
          <w:tcPr>
            <w:tcW w:w="4140" w:type="dxa"/>
          </w:tcPr>
          <w:p w:rsidR="00664F2E" w:rsidRPr="007159DE" w:rsidRDefault="00664F2E" w:rsidP="00DC220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CXCR4 recognizing V3 loop sequences; the </w:t>
            </w:r>
            <w:r w:rsidR="00DC22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eight</w:t>
            </w:r>
            <w:r w:rsidRPr="0071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most populated 35-residue sequences were selected</w:t>
            </w:r>
          </w:p>
        </w:tc>
      </w:tr>
      <w:tr w:rsidR="0033266C" w:rsidRPr="007159DE" w:rsidTr="00F0645F">
        <w:tc>
          <w:tcPr>
            <w:tcW w:w="738" w:type="dxa"/>
          </w:tcPr>
          <w:p w:rsidR="0033266C" w:rsidRPr="007159DE" w:rsidRDefault="0033266C" w:rsidP="006B79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50" w:type="dxa"/>
            <w:tcBorders>
              <w:righ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CPRPNNNTRKSVRIGPGQTFYATGDIIGDIRQAHC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40" w:type="dxa"/>
          </w:tcPr>
          <w:p w:rsidR="0033266C" w:rsidRPr="007159DE" w:rsidRDefault="0033266C" w:rsidP="00F06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CTRPYNNTRTSVRIGPGQAFYKTGEIVGDIRRAYC</w:t>
            </w:r>
          </w:p>
        </w:tc>
      </w:tr>
      <w:tr w:rsidR="0033266C" w:rsidRPr="007159DE" w:rsidTr="00F0645F">
        <w:tc>
          <w:tcPr>
            <w:tcW w:w="738" w:type="dxa"/>
          </w:tcPr>
          <w:p w:rsidR="0033266C" w:rsidRPr="007159DE" w:rsidRDefault="0033266C" w:rsidP="006B79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50" w:type="dxa"/>
            <w:tcBorders>
              <w:righ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CTRPNNNTRKSIPIGPGRAFYTTGEIIGDIRKAHC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40" w:type="dxa"/>
          </w:tcPr>
          <w:p w:rsidR="0033266C" w:rsidRPr="007159DE" w:rsidRDefault="0033266C" w:rsidP="00F06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CTRPNNNTRRRIYIGQGRAVYTTKQIVGDIRKAYC</w:t>
            </w:r>
          </w:p>
        </w:tc>
      </w:tr>
      <w:tr w:rsidR="0033266C" w:rsidRPr="007159DE" w:rsidTr="00F0645F">
        <w:tc>
          <w:tcPr>
            <w:tcW w:w="738" w:type="dxa"/>
          </w:tcPr>
          <w:p w:rsidR="0033266C" w:rsidRPr="007159DE" w:rsidRDefault="0033266C" w:rsidP="006B79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0" w:type="dxa"/>
            <w:tcBorders>
              <w:righ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CTRPNNNTRKSIPMGPGKAFYATGDIIGDIRQAHC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40" w:type="dxa"/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CTRPFKNIRTSVRIGPGRVFYKTGAITGDIRRAYC</w:t>
            </w:r>
          </w:p>
        </w:tc>
      </w:tr>
      <w:tr w:rsidR="0033266C" w:rsidRPr="007159DE" w:rsidTr="00F0645F">
        <w:tc>
          <w:tcPr>
            <w:tcW w:w="738" w:type="dxa"/>
          </w:tcPr>
          <w:p w:rsidR="0033266C" w:rsidRPr="007159DE" w:rsidRDefault="0033266C" w:rsidP="006B79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50" w:type="dxa"/>
            <w:tcBorders>
              <w:righ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CTRPNNNTRKSIHIGPGRAFYTTGQIIGDIRQAYC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40" w:type="dxa"/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CTRPNNNTRQRISIGPGRAFYTTRQVIGDIRQAHC</w:t>
            </w:r>
          </w:p>
        </w:tc>
      </w:tr>
      <w:tr w:rsidR="0033266C" w:rsidRPr="007159DE" w:rsidTr="00F0645F">
        <w:tc>
          <w:tcPr>
            <w:tcW w:w="738" w:type="dxa"/>
          </w:tcPr>
          <w:p w:rsidR="0033266C" w:rsidRPr="007159DE" w:rsidRDefault="0033266C" w:rsidP="006B79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50" w:type="dxa"/>
            <w:tcBorders>
              <w:righ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CIRPNNNTRKSIRIGPGQAFYATGDIIGDIRQAYC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40" w:type="dxa"/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CTRPSNPTRTRITMGPGRVWYRTGEITGSIRKAYC</w:t>
            </w:r>
          </w:p>
        </w:tc>
      </w:tr>
      <w:tr w:rsidR="0033266C" w:rsidRPr="007159DE" w:rsidTr="00F0645F">
        <w:tc>
          <w:tcPr>
            <w:tcW w:w="738" w:type="dxa"/>
          </w:tcPr>
          <w:p w:rsidR="0033266C" w:rsidRPr="007159DE" w:rsidRDefault="0033266C" w:rsidP="006B79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50" w:type="dxa"/>
            <w:tcBorders>
              <w:right w:val="single" w:sz="18" w:space="0" w:color="auto"/>
            </w:tcBorders>
          </w:tcPr>
          <w:p w:rsidR="0033266C" w:rsidRPr="007159DE" w:rsidRDefault="0033266C" w:rsidP="006B79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CTRPNNNTRKGIHIGPGRTFYTTGEIIGDIRQAHC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40" w:type="dxa"/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CTRPFNNTRTSVGVGPGQVFYKTGDIIGDIRRAYC</w:t>
            </w:r>
          </w:p>
        </w:tc>
      </w:tr>
      <w:tr w:rsidR="0033266C" w:rsidRPr="007159DE" w:rsidTr="00F0645F">
        <w:tc>
          <w:tcPr>
            <w:tcW w:w="738" w:type="dxa"/>
          </w:tcPr>
          <w:p w:rsidR="0033266C" w:rsidRPr="007159DE" w:rsidRDefault="0033266C" w:rsidP="006B79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050" w:type="dxa"/>
            <w:tcBorders>
              <w:right w:val="single" w:sz="18" w:space="0" w:color="auto"/>
            </w:tcBorders>
          </w:tcPr>
          <w:p w:rsidR="0033266C" w:rsidRPr="007159DE" w:rsidRDefault="0033266C" w:rsidP="006B79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CTRPNNNTRRSINIGPGRAFYTTGDIIGDIRQAHC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140" w:type="dxa"/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CIRPNNNTRKSISFGPGQAFYATGDIIGDIRQAYC</w:t>
            </w:r>
          </w:p>
        </w:tc>
      </w:tr>
      <w:tr w:rsidR="0033266C" w:rsidRPr="007159DE" w:rsidTr="00F0645F">
        <w:tc>
          <w:tcPr>
            <w:tcW w:w="738" w:type="dxa"/>
          </w:tcPr>
          <w:p w:rsidR="0033266C" w:rsidRPr="007159DE" w:rsidRDefault="0033266C" w:rsidP="006B79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50" w:type="dxa"/>
            <w:tcBorders>
              <w:right w:val="single" w:sz="18" w:space="0" w:color="auto"/>
            </w:tcBorders>
          </w:tcPr>
          <w:p w:rsidR="0033266C" w:rsidRPr="007159DE" w:rsidRDefault="0033266C" w:rsidP="006B79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CTRPNNNTRKSISIGPGRAFYATGEIIGDIRQAYC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33266C" w:rsidRPr="007159DE" w:rsidRDefault="0033266C" w:rsidP="00F064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140" w:type="dxa"/>
          </w:tcPr>
          <w:p w:rsidR="0033266C" w:rsidRPr="007159DE" w:rsidRDefault="0033266C" w:rsidP="00F06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59DE">
              <w:rPr>
                <w:color w:val="000000" w:themeColor="text1"/>
                <w:sz w:val="16"/>
                <w:szCs w:val="16"/>
              </w:rPr>
              <w:t>CARPFYAIERQRTPIGQGQVLYTTKKIGRIGQAHC</w:t>
            </w:r>
          </w:p>
        </w:tc>
      </w:tr>
    </w:tbl>
    <w:p w:rsidR="0033266C" w:rsidRDefault="0033266C" w:rsidP="00664F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F2E" w:rsidRDefault="00664F2E" w:rsidP="00664F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59DE">
        <w:rPr>
          <w:rFonts w:ascii="Times New Roman" w:hAnsi="Times New Roman"/>
          <w:color w:val="000000" w:themeColor="text1"/>
          <w:sz w:val="24"/>
          <w:szCs w:val="24"/>
        </w:rPr>
        <w:t>We used the starting conformations of Complex 14 in the present study, and Complex 1 from the molecular recognition of CXCR4 by the same dual tropic V3 loop, by Tamamis and Floudas</w:t>
      </w:r>
      <w:bookmarkStart w:id="1" w:name="_Ref380483563"/>
      <w:r w:rsidRPr="007159DE">
        <w:rPr>
          <w:rStyle w:val="EndnoteReference"/>
          <w:rFonts w:ascii="Times New Roman" w:eastAsia="AdvP7627" w:hAnsi="Times New Roman"/>
          <w:color w:val="000000" w:themeColor="text1"/>
          <w:sz w:val="24"/>
          <w:szCs w:val="24"/>
          <w:lang w:eastAsia="zh-CN"/>
        </w:rPr>
        <w:endnoteReference w:id="2"/>
      </w:r>
      <w:bookmarkEnd w:id="1"/>
      <w:r w:rsidRPr="007159DE">
        <w:rPr>
          <w:rFonts w:ascii="Times New Roman" w:hAnsi="Times New Roman"/>
          <w:color w:val="000000" w:themeColor="text1"/>
          <w:sz w:val="24"/>
          <w:szCs w:val="24"/>
        </w:rPr>
        <w:t>, to construct the new complex structures with the appropriate mutations, and perform MD simulations of clustered CCR5 recognizing</w:t>
      </w:r>
      <w:r w:rsidR="00433070">
        <w:rPr>
          <w:rFonts w:ascii="Times New Roman" w:hAnsi="Times New Roman"/>
          <w:color w:val="000000" w:themeColor="text1"/>
          <w:sz w:val="24"/>
          <w:szCs w:val="24"/>
        </w:rPr>
        <w:t xml:space="preserve"> and CXCR4 recognizing V3 loops;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V3 loop sequences </w:t>
      </w:r>
      <w:r w:rsidR="00AD5155">
        <w:rPr>
          <w:rFonts w:ascii="Times New Roman" w:hAnsi="Times New Roman"/>
          <w:color w:val="000000" w:themeColor="text1"/>
          <w:sz w:val="24"/>
          <w:szCs w:val="24"/>
        </w:rPr>
        <w:t xml:space="preserve">which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did not have a sequence length of 35 residues and were excluded from this analysis. The MD simulations consisted of two parts: (</w:t>
      </w:r>
      <w:proofErr w:type="spellStart"/>
      <w:r w:rsidRPr="007159DE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) sampling, and (ii) production. In the sampling part, the starting conformations in all twenty complexes were simulated for 4 ns using the exact same protocol of step 5 in Methods. Structures were extracted every 20 </w:t>
      </w:r>
      <w:proofErr w:type="spellStart"/>
      <w:r w:rsidRPr="007159DE">
        <w:rPr>
          <w:rFonts w:ascii="Times New Roman" w:hAnsi="Times New Roman"/>
          <w:color w:val="000000" w:themeColor="text1"/>
          <w:sz w:val="24"/>
          <w:szCs w:val="24"/>
        </w:rPr>
        <w:t>ps</w:t>
      </w:r>
      <w:proofErr w:type="spellEnd"/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, and the lowest binding free energy structure was selected, in each complex, as a new starting point for the conduction of the production run which consisted of a light equilibration and 5 ns of production run. Upon the completion of the MD simulations and the extraction of simulation snapshots every 200 </w:t>
      </w:r>
      <w:proofErr w:type="spellStart"/>
      <w:r w:rsidRPr="007159DE">
        <w:rPr>
          <w:rFonts w:ascii="Times New Roman" w:hAnsi="Times New Roman"/>
          <w:color w:val="000000" w:themeColor="text1"/>
          <w:sz w:val="24"/>
          <w:szCs w:val="24"/>
        </w:rPr>
        <w:t>ps</w:t>
      </w:r>
      <w:proofErr w:type="spellEnd"/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in the production run, in each complex, we calculated the total interaction free energy of every V3 loop (1-35) residue position within the simulations for each of the complexes separately; 25 snapshots were analyzed for each Complex. Subsequently we evaluated the interaction free energy average and standard deviation values for every V3 loop (1-35) residue position in complex with CCR5 or CXCR4 independently (see </w:t>
      </w:r>
      <w:r w:rsidRPr="00664F2E">
        <w:rPr>
          <w:rFonts w:ascii="Times New Roman" w:hAnsi="Times New Roman"/>
          <w:i/>
          <w:color w:val="000000" w:themeColor="text1"/>
          <w:sz w:val="24"/>
          <w:szCs w:val="24"/>
        </w:rPr>
        <w:t>Discussion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in main text).</w:t>
      </w:r>
      <w:r w:rsidR="00D169E7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="00D169E7">
        <w:rPr>
          <w:rFonts w:ascii="Times New Roman" w:hAnsi="Times New Roman"/>
          <w:color w:val="000000" w:themeColor="text1"/>
          <w:sz w:val="24"/>
          <w:szCs w:val="24"/>
        </w:rPr>
        <w:t>parametrization</w:t>
      </w:r>
      <w:proofErr w:type="spellEnd"/>
      <w:r w:rsidR="00D169E7">
        <w:rPr>
          <w:rFonts w:ascii="Times New Roman" w:hAnsi="Times New Roman"/>
          <w:color w:val="000000" w:themeColor="text1"/>
          <w:sz w:val="24"/>
          <w:szCs w:val="24"/>
        </w:rPr>
        <w:t xml:space="preserve"> and setup of MD simulations is identical to the one used in Step 5 of </w:t>
      </w:r>
      <w:r w:rsidR="00D169E7" w:rsidRPr="00D169E7">
        <w:rPr>
          <w:rFonts w:ascii="Times New Roman" w:hAnsi="Times New Roman"/>
          <w:i/>
          <w:color w:val="000000" w:themeColor="text1"/>
          <w:sz w:val="24"/>
          <w:szCs w:val="24"/>
        </w:rPr>
        <w:t>Methods</w:t>
      </w:r>
      <w:r w:rsidR="00D169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4557" w:rsidRDefault="00B64557"/>
    <w:sectPr w:rsidR="00B6455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4E" w:rsidRDefault="00F02E4E" w:rsidP="00664F2E">
      <w:pPr>
        <w:spacing w:after="0" w:line="240" w:lineRule="auto"/>
      </w:pPr>
      <w:r>
        <w:separator/>
      </w:r>
    </w:p>
  </w:endnote>
  <w:endnote w:type="continuationSeparator" w:id="0">
    <w:p w:rsidR="00F02E4E" w:rsidRDefault="00F02E4E" w:rsidP="00664F2E">
      <w:pPr>
        <w:spacing w:after="0" w:line="240" w:lineRule="auto"/>
      </w:pPr>
      <w:r>
        <w:continuationSeparator/>
      </w:r>
    </w:p>
  </w:endnote>
  <w:endnote w:id="1">
    <w:p w:rsidR="00664F2E" w:rsidRDefault="00664F2E" w:rsidP="00664F2E">
      <w:pPr>
        <w:pStyle w:val="EndnoteText"/>
        <w:jc w:val="both"/>
      </w:pPr>
      <w:r w:rsidRPr="007159DE">
        <w:rPr>
          <w:rStyle w:val="EndnoteReference"/>
          <w:color w:val="000000" w:themeColor="text1"/>
          <w:sz w:val="24"/>
          <w:szCs w:val="24"/>
        </w:rPr>
        <w:endnoteRef/>
      </w:r>
      <w:r w:rsidRPr="007159DE">
        <w:rPr>
          <w:color w:val="000000" w:themeColor="text1"/>
        </w:rPr>
        <w:t xml:space="preserve"> </w:t>
      </w:r>
      <w:proofErr w:type="spellStart"/>
      <w:r w:rsidRPr="007159DE">
        <w:rPr>
          <w:color w:val="000000" w:themeColor="text1"/>
          <w:sz w:val="24"/>
          <w:szCs w:val="24"/>
        </w:rPr>
        <w:t>Weizhong</w:t>
      </w:r>
      <w:proofErr w:type="spellEnd"/>
      <w:r w:rsidRPr="007159DE">
        <w:rPr>
          <w:color w:val="000000" w:themeColor="text1"/>
          <w:sz w:val="24"/>
          <w:szCs w:val="24"/>
        </w:rPr>
        <w:t xml:space="preserve"> L, </w:t>
      </w:r>
      <w:proofErr w:type="spellStart"/>
      <w:r w:rsidRPr="007159DE">
        <w:rPr>
          <w:color w:val="000000" w:themeColor="text1"/>
          <w:sz w:val="24"/>
          <w:szCs w:val="24"/>
        </w:rPr>
        <w:t>Godzik</w:t>
      </w:r>
      <w:proofErr w:type="spellEnd"/>
      <w:r w:rsidRPr="007159DE">
        <w:rPr>
          <w:color w:val="000000" w:themeColor="text1"/>
          <w:sz w:val="24"/>
          <w:szCs w:val="24"/>
        </w:rPr>
        <w:t xml:space="preserve"> A. (2006) Cd-hit: a fast program for clustering and comparing large sets of protein or nucleotide sequences. Bioinformatics 22:1658-1659.</w:t>
      </w:r>
    </w:p>
  </w:endnote>
  <w:endnote w:id="2">
    <w:p w:rsidR="00664F2E" w:rsidRPr="00890394" w:rsidRDefault="00664F2E" w:rsidP="00664F2E">
      <w:pPr>
        <w:pStyle w:val="EndnoteText"/>
        <w:jc w:val="both"/>
        <w:rPr>
          <w:color w:val="000000" w:themeColor="text1"/>
        </w:rPr>
      </w:pPr>
      <w:r w:rsidRPr="00890394">
        <w:rPr>
          <w:rStyle w:val="EndnoteReference"/>
          <w:color w:val="000000" w:themeColor="text1"/>
          <w:sz w:val="24"/>
          <w:szCs w:val="24"/>
        </w:rPr>
        <w:endnoteRef/>
      </w:r>
      <w:r w:rsidRPr="00890394">
        <w:rPr>
          <w:color w:val="000000" w:themeColor="text1"/>
          <w:sz w:val="24"/>
          <w:szCs w:val="24"/>
        </w:rPr>
        <w:t xml:space="preserve"> Tamamis P, Floudas CA. (2013) Molecular recognition of CXCR4 by a dual tropic HIV-1 gp120 V3 loop. </w:t>
      </w:r>
      <w:proofErr w:type="spellStart"/>
      <w:r w:rsidRPr="00890394">
        <w:rPr>
          <w:iCs/>
          <w:color w:val="000000" w:themeColor="text1"/>
          <w:sz w:val="24"/>
          <w:szCs w:val="24"/>
        </w:rPr>
        <w:t>Biophys</w:t>
      </w:r>
      <w:proofErr w:type="spellEnd"/>
      <w:r w:rsidRPr="00890394">
        <w:rPr>
          <w:iCs/>
          <w:color w:val="000000" w:themeColor="text1"/>
          <w:sz w:val="24"/>
          <w:szCs w:val="24"/>
        </w:rPr>
        <w:t xml:space="preserve"> J</w:t>
      </w:r>
      <w:r w:rsidRPr="00890394">
        <w:rPr>
          <w:color w:val="000000" w:themeColor="text1"/>
          <w:sz w:val="24"/>
          <w:szCs w:val="24"/>
        </w:rPr>
        <w:t xml:space="preserve"> 105(6): 1502-1514.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7627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4E" w:rsidRDefault="00F02E4E" w:rsidP="00664F2E">
      <w:pPr>
        <w:spacing w:after="0" w:line="240" w:lineRule="auto"/>
      </w:pPr>
      <w:r>
        <w:separator/>
      </w:r>
    </w:p>
  </w:footnote>
  <w:footnote w:type="continuationSeparator" w:id="0">
    <w:p w:rsidR="00F02E4E" w:rsidRDefault="00F02E4E" w:rsidP="00664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63"/>
    <w:rsid w:val="00121B9B"/>
    <w:rsid w:val="00147EE1"/>
    <w:rsid w:val="0033266C"/>
    <w:rsid w:val="003C7683"/>
    <w:rsid w:val="003E2FED"/>
    <w:rsid w:val="004214D9"/>
    <w:rsid w:val="00433070"/>
    <w:rsid w:val="00664F2E"/>
    <w:rsid w:val="00755677"/>
    <w:rsid w:val="00926657"/>
    <w:rsid w:val="00960E98"/>
    <w:rsid w:val="009A2141"/>
    <w:rsid w:val="00AD5155"/>
    <w:rsid w:val="00B64557"/>
    <w:rsid w:val="00BA7063"/>
    <w:rsid w:val="00D169E7"/>
    <w:rsid w:val="00D8438A"/>
    <w:rsid w:val="00DA5329"/>
    <w:rsid w:val="00DC220C"/>
    <w:rsid w:val="00DE5562"/>
    <w:rsid w:val="00E16C6C"/>
    <w:rsid w:val="00E85A26"/>
    <w:rsid w:val="00F02E4E"/>
    <w:rsid w:val="00F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2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F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nhideWhenUsed/>
    <w:rsid w:val="00664F2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EndnoteTextChar">
    <w:name w:val="Endnote Text Char"/>
    <w:basedOn w:val="DefaultParagraphFont"/>
    <w:link w:val="EndnoteText"/>
    <w:rsid w:val="00664F2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Reference">
    <w:name w:val="endnote reference"/>
    <w:unhideWhenUsed/>
    <w:rsid w:val="00664F2E"/>
    <w:rPr>
      <w:vertAlign w:val="superscript"/>
    </w:rPr>
  </w:style>
  <w:style w:type="character" w:styleId="Hyperlink">
    <w:name w:val="Hyperlink"/>
    <w:basedOn w:val="DefaultParagraphFont"/>
    <w:unhideWhenUsed/>
    <w:rsid w:val="00664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2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F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nhideWhenUsed/>
    <w:rsid w:val="00664F2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EndnoteTextChar">
    <w:name w:val="Endnote Text Char"/>
    <w:basedOn w:val="DefaultParagraphFont"/>
    <w:link w:val="EndnoteText"/>
    <w:rsid w:val="00664F2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Reference">
    <w:name w:val="endnote reference"/>
    <w:unhideWhenUsed/>
    <w:rsid w:val="00664F2E"/>
    <w:rPr>
      <w:vertAlign w:val="superscript"/>
    </w:rPr>
  </w:style>
  <w:style w:type="character" w:styleId="Hyperlink">
    <w:name w:val="Hyperlink"/>
    <w:basedOn w:val="DefaultParagraphFont"/>
    <w:unhideWhenUsed/>
    <w:rsid w:val="00664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v.lanl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Phanourios</dc:creator>
  <cp:lastModifiedBy>Phanourios</cp:lastModifiedBy>
  <cp:revision>6</cp:revision>
  <dcterms:created xsi:type="dcterms:W3CDTF">2014-04-06T15:11:00Z</dcterms:created>
  <dcterms:modified xsi:type="dcterms:W3CDTF">2014-04-08T14:43:00Z</dcterms:modified>
</cp:coreProperties>
</file>