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A4" w:rsidRDefault="00D101A4">
      <w:pPr>
        <w:spacing w:line="200" w:lineRule="atLeast"/>
      </w:pPr>
      <w:r>
        <w:rPr>
          <w:b/>
          <w:bCs/>
        </w:rPr>
        <w:t>Beat Alignment Task (BAT)</w:t>
      </w:r>
    </w:p>
    <w:p w:rsidR="00D101A4" w:rsidRDefault="00D101A4">
      <w:pPr>
        <w:spacing w:line="200" w:lineRule="atLeast"/>
      </w:pPr>
    </w:p>
    <w:p w:rsidR="00D101A4" w:rsidRDefault="00D101A4">
      <w:pPr>
        <w:spacing w:line="200" w:lineRule="atLeast"/>
      </w:pPr>
      <w:r>
        <w:rPr>
          <w:i/>
          <w:iCs/>
        </w:rPr>
        <w:t>Materials</w:t>
      </w:r>
    </w:p>
    <w:p w:rsidR="00D101A4" w:rsidRDefault="00D101A4" w:rsidP="00D349D3">
      <w:pPr>
        <w:spacing w:line="200" w:lineRule="atLeast"/>
        <w:jc w:val="both"/>
      </w:pPr>
      <w:r>
        <w:t xml:space="preserve">The following 5 extracts were selected from among the stimuli used by </w:t>
      </w:r>
      <w:proofErr w:type="spellStart"/>
      <w:r>
        <w:t>Iversen</w:t>
      </w:r>
      <w:proofErr w:type="spellEnd"/>
      <w:r>
        <w:t xml:space="preserve"> &amp; Patel (2008). We indicate the mean inter-onset-interval of the metronome clicks and their standard deviation. The coefficient-of-variation indicates the metronome standard deviation divided by the mean inter-onset-interval.</w:t>
      </w:r>
    </w:p>
    <w:p w:rsidR="00D101A4" w:rsidRDefault="00D101A4" w:rsidP="00D349D3">
      <w:pPr>
        <w:spacing w:line="2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81"/>
        <w:gridCol w:w="1725"/>
        <w:gridCol w:w="2085"/>
        <w:gridCol w:w="1455"/>
        <w:gridCol w:w="915"/>
        <w:gridCol w:w="1335"/>
      </w:tblGrid>
      <w:tr w:rsidR="00D101A4" w:rsidTr="003004D1">
        <w:tc>
          <w:tcPr>
            <w:tcW w:w="7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pStyle w:val="TableContents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14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pStyle w:val="TableContents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Style</w:t>
            </w:r>
          </w:p>
        </w:tc>
        <w:tc>
          <w:tcPr>
            <w:tcW w:w="17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Piece </w:t>
            </w:r>
          </w:p>
        </w:tc>
        <w:tc>
          <w:tcPr>
            <w:tcW w:w="20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Artist </w:t>
            </w:r>
          </w:p>
        </w:tc>
        <w:tc>
          <w:tcPr>
            <w:tcW w:w="14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Mean IOI (ms)*</w:t>
            </w:r>
          </w:p>
        </w:tc>
        <w:tc>
          <w:tcPr>
            <w:tcW w:w="9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SD IOI (ms)</w:t>
            </w:r>
          </w:p>
        </w:tc>
        <w:tc>
          <w:tcPr>
            <w:tcW w:w="13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</w:pPr>
            <w:r>
              <w:rPr>
                <w:b/>
                <w:bCs/>
              </w:rPr>
              <w:t>CV IOI (%)</w:t>
            </w:r>
          </w:p>
        </w:tc>
      </w:tr>
      <w:tr w:rsidR="00D101A4" w:rsidTr="003004D1">
        <w:trPr>
          <w:trHeight w:val="334"/>
        </w:trPr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HTH</w:t>
            </w:r>
          </w:p>
        </w:tc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Rock </w:t>
            </w:r>
          </w:p>
        </w:tc>
        <w:tc>
          <w:tcPr>
            <w:tcW w:w="17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Hard to handle </w:t>
            </w:r>
          </w:p>
        </w:tc>
        <w:tc>
          <w:tcPr>
            <w:tcW w:w="2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Black Crowes </w:t>
            </w:r>
          </w:p>
        </w:tc>
        <w:tc>
          <w:tcPr>
            <w:tcW w:w="14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560.3</w:t>
            </w:r>
          </w:p>
        </w:tc>
        <w:tc>
          <w:tcPr>
            <w:tcW w:w="9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11.6</w:t>
            </w:r>
          </w:p>
        </w:tc>
        <w:tc>
          <w:tcPr>
            <w:tcW w:w="1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2.07%</w:t>
            </w:r>
          </w:p>
        </w:tc>
      </w:tr>
      <w:tr w:rsidR="00D101A4" w:rsidTr="003004D1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HSG</w:t>
            </w:r>
          </w:p>
        </w:tc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Rock </w:t>
            </w:r>
          </w:p>
        </w:tc>
        <w:tc>
          <w:tcPr>
            <w:tcW w:w="17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Hurts so good </w:t>
            </w:r>
          </w:p>
        </w:tc>
        <w:tc>
          <w:tcPr>
            <w:tcW w:w="2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J. </w:t>
            </w:r>
            <w:proofErr w:type="spellStart"/>
            <w:r>
              <w:t>Mellencamp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478.0</w:t>
            </w:r>
          </w:p>
        </w:tc>
        <w:tc>
          <w:tcPr>
            <w:tcW w:w="9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12.1</w:t>
            </w:r>
          </w:p>
        </w:tc>
        <w:tc>
          <w:tcPr>
            <w:tcW w:w="1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2.53%</w:t>
            </w:r>
          </w:p>
        </w:tc>
      </w:tr>
      <w:tr w:rsidR="00D101A4" w:rsidTr="003004D1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KPS</w:t>
            </w:r>
          </w:p>
        </w:tc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Jazz</w:t>
            </w:r>
          </w:p>
        </w:tc>
        <w:tc>
          <w:tcPr>
            <w:tcW w:w="17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King Porter stomp </w:t>
            </w:r>
          </w:p>
        </w:tc>
        <w:tc>
          <w:tcPr>
            <w:tcW w:w="2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Glenn Miller </w:t>
            </w:r>
          </w:p>
        </w:tc>
        <w:tc>
          <w:tcPr>
            <w:tcW w:w="14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696.3</w:t>
            </w:r>
          </w:p>
        </w:tc>
        <w:tc>
          <w:tcPr>
            <w:tcW w:w="9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13.8</w:t>
            </w:r>
          </w:p>
        </w:tc>
        <w:tc>
          <w:tcPr>
            <w:tcW w:w="1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1.98%</w:t>
            </w:r>
          </w:p>
        </w:tc>
      </w:tr>
      <w:tr w:rsidR="00D101A4" w:rsidTr="003004D1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ACL</w:t>
            </w:r>
          </w:p>
        </w:tc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Pop Orchestral</w:t>
            </w:r>
          </w:p>
        </w:tc>
        <w:tc>
          <w:tcPr>
            <w:tcW w:w="17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A chorus line </w:t>
            </w:r>
          </w:p>
        </w:tc>
        <w:tc>
          <w:tcPr>
            <w:tcW w:w="2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Boston Pops </w:t>
            </w:r>
          </w:p>
        </w:tc>
        <w:tc>
          <w:tcPr>
            <w:tcW w:w="14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485.8</w:t>
            </w:r>
          </w:p>
        </w:tc>
        <w:tc>
          <w:tcPr>
            <w:tcW w:w="9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13.8</w:t>
            </w:r>
          </w:p>
        </w:tc>
        <w:tc>
          <w:tcPr>
            <w:tcW w:w="1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2.84%</w:t>
            </w:r>
          </w:p>
        </w:tc>
      </w:tr>
      <w:tr w:rsidR="00D101A4" w:rsidTr="003004D1"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SMA</w:t>
            </w:r>
          </w:p>
        </w:tc>
        <w:tc>
          <w:tcPr>
            <w:tcW w:w="14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Pop Orchestral</w:t>
            </w:r>
          </w:p>
        </w:tc>
        <w:tc>
          <w:tcPr>
            <w:tcW w:w="17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Superman </w:t>
            </w:r>
          </w:p>
        </w:tc>
        <w:tc>
          <w:tcPr>
            <w:tcW w:w="2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 xml:space="preserve">Boston Pops </w:t>
            </w:r>
          </w:p>
        </w:tc>
        <w:tc>
          <w:tcPr>
            <w:tcW w:w="14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735.2</w:t>
            </w:r>
          </w:p>
        </w:tc>
        <w:tc>
          <w:tcPr>
            <w:tcW w:w="9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56.0</w:t>
            </w:r>
          </w:p>
        </w:tc>
        <w:tc>
          <w:tcPr>
            <w:tcW w:w="133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101A4" w:rsidRDefault="00D101A4" w:rsidP="00D349D3">
            <w:pPr>
              <w:spacing w:line="200" w:lineRule="atLeast"/>
              <w:jc w:val="both"/>
            </w:pPr>
            <w:r>
              <w:t>7.62%</w:t>
            </w:r>
          </w:p>
        </w:tc>
      </w:tr>
    </w:tbl>
    <w:p w:rsidR="00D101A4" w:rsidRDefault="00D101A4" w:rsidP="00D349D3">
      <w:pPr>
        <w:spacing w:line="200" w:lineRule="atLeast"/>
        <w:jc w:val="both"/>
      </w:pPr>
    </w:p>
    <w:p w:rsidR="00D101A4" w:rsidRDefault="00D101A4" w:rsidP="00D349D3">
      <w:pPr>
        <w:spacing w:line="200" w:lineRule="atLeast"/>
        <w:jc w:val="both"/>
        <w:rPr>
          <w:rFonts w:cs="Times New Roman"/>
        </w:rPr>
      </w:pPr>
      <w:r>
        <w:rPr>
          <w:i/>
          <w:iCs/>
        </w:rPr>
        <w:t>Metronome</w:t>
      </w:r>
    </w:p>
    <w:p w:rsidR="00D101A4" w:rsidRDefault="00D101A4" w:rsidP="00D349D3">
      <w:pPr>
        <w:pStyle w:val="NoSpacing2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metronome sound was a 1</w:t>
      </w:r>
      <w:r w:rsidR="00D3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kHz sine wave with 50msec duration, instead of 100msec as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Iversen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Patel (2008). Furthermore, we used only </w:t>
      </w:r>
      <w:r w:rsidR="00E769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phase-shifted metronome and omitted </w:t>
      </w:r>
      <w:proofErr w:type="spellStart"/>
      <w:r>
        <w:rPr>
          <w:rFonts w:ascii="Times New Roman" w:hAnsi="Times New Roman" w:cs="Times New Roman"/>
          <w:sz w:val="24"/>
          <w:szCs w:val="24"/>
        </w:rPr>
        <w:t>Iversen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Patel's condition with </w:t>
      </w:r>
      <w:r w:rsidR="00E769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period-shifted metronome.</w:t>
      </w:r>
    </w:p>
    <w:p w:rsidR="00D101A4" w:rsidRDefault="00D101A4" w:rsidP="00D349D3">
      <w:pPr>
        <w:spacing w:line="200" w:lineRule="atLeast"/>
        <w:jc w:val="both"/>
      </w:pPr>
    </w:p>
    <w:p w:rsidR="00D101A4" w:rsidRDefault="00D101A4" w:rsidP="00D349D3">
      <w:pPr>
        <w:spacing w:line="200" w:lineRule="atLeast"/>
        <w:jc w:val="both"/>
      </w:pPr>
      <w:r>
        <w:rPr>
          <w:i/>
          <w:iCs/>
        </w:rPr>
        <w:t>Instructions</w:t>
      </w:r>
    </w:p>
    <w:p w:rsidR="00D101A4" w:rsidRDefault="00D101A4" w:rsidP="00D349D3">
      <w:pPr>
        <w:spacing w:line="200" w:lineRule="atLeast"/>
        <w:jc w:val="both"/>
      </w:pPr>
      <w:r>
        <w:t>The instructions are adapted from the BAASTA (</w:t>
      </w:r>
      <w:proofErr w:type="spellStart"/>
      <w:r>
        <w:t>Farrugia</w:t>
      </w:r>
      <w:proofErr w:type="spellEnd"/>
      <w:r>
        <w:t xml:space="preserve"> et al</w:t>
      </w:r>
      <w:r w:rsidR="008147E1">
        <w:t>.</w:t>
      </w:r>
      <w:r>
        <w:t xml:space="preserve">, ICMPC 2012). However, the instructions were changed in the following ways. Firstly, </w:t>
      </w:r>
      <w:proofErr w:type="spellStart"/>
      <w:r>
        <w:t>Farrugia</w:t>
      </w:r>
      <w:proofErr w:type="spellEnd"/>
      <w:r>
        <w:t xml:space="preserve"> et al</w:t>
      </w:r>
      <w:r w:rsidR="008147E1">
        <w:t>.</w:t>
      </w:r>
      <w:r>
        <w:t xml:space="preserve"> asked their participants whether the metronome was "regular" or not, whereas we asked whether it was aligned or not. Secondly, </w:t>
      </w:r>
      <w:proofErr w:type="spellStart"/>
      <w:r>
        <w:t>Farrugia</w:t>
      </w:r>
      <w:proofErr w:type="spellEnd"/>
      <w:r>
        <w:t xml:space="preserve"> et al</w:t>
      </w:r>
      <w:r w:rsidR="008147E1">
        <w:t>.</w:t>
      </w:r>
      <w:r>
        <w:t>'s instructions defined rhythm by referring to how one could tap along, but later ask people not to tap along.</w:t>
      </w:r>
    </w:p>
    <w:p w:rsidR="00D349D3" w:rsidRDefault="00D349D3" w:rsidP="00D349D3">
      <w:pPr>
        <w:spacing w:line="200" w:lineRule="atLeast"/>
        <w:jc w:val="both"/>
      </w:pPr>
    </w:p>
    <w:p w:rsidR="00DF5771" w:rsidRPr="002A7DE7" w:rsidRDefault="00DF5771" w:rsidP="00DF5771">
      <w:pPr>
        <w:pStyle w:val="NoSpacing1"/>
        <w:numPr>
          <w:ilvl w:val="0"/>
          <w:numId w:val="1"/>
        </w:numPr>
        <w:spacing w:line="240" w:lineRule="auto"/>
        <w:jc w:val="both"/>
        <w:rPr>
          <w:rStyle w:val="Nadruk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D87685"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>Iversen</w:t>
      </w:r>
      <w:proofErr w:type="spellEnd"/>
      <w:r w:rsidRPr="00D87685"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 xml:space="preserve"> JR, Patel AD (2008) The Beat Alignment Test (BAT): Surveying beat processing abilities in the general population. In: Miyazaki </w:t>
      </w:r>
      <w:r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 xml:space="preserve">K, </w:t>
      </w:r>
      <w:proofErr w:type="spellStart"/>
      <w:r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>Hiraga</w:t>
      </w:r>
      <w:proofErr w:type="spellEnd"/>
      <w:r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 xml:space="preserve"> Y, Adachi M, Nakajima Y, </w:t>
      </w:r>
      <w:proofErr w:type="spellStart"/>
      <w:r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>Tsuzaki</w:t>
      </w:r>
      <w:proofErr w:type="spellEnd"/>
      <w:r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 xml:space="preserve"> M, editors. </w:t>
      </w:r>
      <w:r w:rsidRPr="00D87685"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>Proceedings of the 10th International Conference on Music Perception &amp; Cognition (ICMPC10</w:t>
      </w:r>
      <w:r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>) Sapporo, Japan.</w:t>
      </w:r>
      <w:r w:rsidRPr="00D87685"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 xml:space="preserve"> Adelaide: Causal Productions.</w:t>
      </w:r>
      <w:r>
        <w:rPr>
          <w:rStyle w:val="Nadruk"/>
          <w:rFonts w:ascii="Times New Roman" w:hAnsi="Times New Roman" w:cs="Times New Roman"/>
          <w:i w:val="0"/>
          <w:sz w:val="24"/>
          <w:szCs w:val="24"/>
          <w:lang w:eastAsia="en-US"/>
        </w:rPr>
        <w:t xml:space="preserve"> pp. 465-468.</w:t>
      </w:r>
    </w:p>
    <w:p w:rsidR="00D349D3" w:rsidRPr="00D349D3" w:rsidRDefault="00D349D3" w:rsidP="00D349D3">
      <w:pPr>
        <w:pStyle w:val="NoSpacing1"/>
        <w:spacing w:line="240" w:lineRule="auto"/>
        <w:ind w:left="720"/>
        <w:jc w:val="both"/>
        <w:rPr>
          <w:rStyle w:val="Nadruk"/>
          <w:rFonts w:ascii="Times New Roman" w:hAnsi="Times New Roman" w:cs="Times New Roman"/>
          <w:i w:val="0"/>
          <w:iCs w:val="0"/>
        </w:rPr>
      </w:pPr>
    </w:p>
    <w:p w:rsidR="00D349D3" w:rsidRPr="00D349D3" w:rsidRDefault="00D349D3" w:rsidP="00DF5771">
      <w:pPr>
        <w:pStyle w:val="NoSpacing1"/>
        <w:numPr>
          <w:ilvl w:val="0"/>
          <w:numId w:val="1"/>
        </w:numPr>
        <w:spacing w:line="240" w:lineRule="auto"/>
        <w:jc w:val="both"/>
      </w:pPr>
      <w:proofErr w:type="spellStart"/>
      <w:r w:rsidRPr="00D349D3">
        <w:rPr>
          <w:rFonts w:ascii="Times New Roman" w:hAnsi="Times New Roman" w:cs="Times New Roman"/>
        </w:rPr>
        <w:t>Farrugia</w:t>
      </w:r>
      <w:proofErr w:type="spellEnd"/>
      <w:r w:rsidRPr="00D349D3">
        <w:rPr>
          <w:rFonts w:ascii="Times New Roman" w:hAnsi="Times New Roman" w:cs="Times New Roman"/>
        </w:rPr>
        <w:t xml:space="preserve"> N, Benoit CE, Harding E, </w:t>
      </w:r>
      <w:proofErr w:type="spellStart"/>
      <w:r w:rsidRPr="00D349D3">
        <w:rPr>
          <w:rFonts w:ascii="Times New Roman" w:hAnsi="Times New Roman" w:cs="Times New Roman"/>
        </w:rPr>
        <w:t>Kotz</w:t>
      </w:r>
      <w:proofErr w:type="spellEnd"/>
      <w:r w:rsidRPr="00D349D3">
        <w:rPr>
          <w:rFonts w:ascii="Times New Roman" w:hAnsi="Times New Roman" w:cs="Times New Roman"/>
        </w:rPr>
        <w:t xml:space="preserve"> SA, </w:t>
      </w:r>
      <w:proofErr w:type="spellStart"/>
      <w:r w:rsidRPr="00D349D3">
        <w:rPr>
          <w:rFonts w:ascii="Times New Roman" w:hAnsi="Times New Roman" w:cs="Times New Roman"/>
        </w:rPr>
        <w:t>DallaBella</w:t>
      </w:r>
      <w:proofErr w:type="spellEnd"/>
      <w:r w:rsidRPr="00D349D3">
        <w:rPr>
          <w:rFonts w:ascii="Times New Roman" w:hAnsi="Times New Roman" w:cs="Times New Roman"/>
        </w:rPr>
        <w:t>, S (2012) BAASTA: battery for the assessment of auditory sensorimotor and timing abilities</w:t>
      </w:r>
      <w:r w:rsidRPr="00DF5771">
        <w:rPr>
          <w:rFonts w:ascii="Times New Roman" w:hAnsi="Times New Roman" w:cs="Times New Roman"/>
        </w:rPr>
        <w:t xml:space="preserve">. </w:t>
      </w:r>
      <w:r w:rsidRPr="00DF5771">
        <w:rPr>
          <w:rStyle w:val="Nadruk"/>
          <w:rFonts w:ascii="Times New Roman" w:hAnsi="Times New Roman" w:cs="Times New Roman"/>
          <w:i w:val="0"/>
          <w:lang w:eastAsia="en-US"/>
        </w:rPr>
        <w:t>In:</w:t>
      </w:r>
      <w:r w:rsidRPr="00DF5771">
        <w:rPr>
          <w:rFonts w:ascii="Times New Roman" w:hAnsi="Times New Roman" w:cs="Times New Roman"/>
        </w:rPr>
        <w:t xml:space="preserve"> </w:t>
      </w:r>
      <w:proofErr w:type="spellStart"/>
      <w:r w:rsidRPr="00DF5771">
        <w:rPr>
          <w:rFonts w:ascii="Times New Roman" w:hAnsi="Times New Roman" w:cs="Times New Roman"/>
        </w:rPr>
        <w:t>Cambouropoulos</w:t>
      </w:r>
      <w:proofErr w:type="spellEnd"/>
      <w:r w:rsidRPr="00DF5771">
        <w:rPr>
          <w:rFonts w:ascii="Times New Roman" w:hAnsi="Times New Roman" w:cs="Times New Roman"/>
        </w:rPr>
        <w:t xml:space="preserve"> E, </w:t>
      </w:r>
      <w:proofErr w:type="spellStart"/>
      <w:r w:rsidRPr="00DF5771">
        <w:rPr>
          <w:rFonts w:ascii="Times New Roman" w:hAnsi="Times New Roman" w:cs="Times New Roman"/>
        </w:rPr>
        <w:t>Tsougras</w:t>
      </w:r>
      <w:proofErr w:type="spellEnd"/>
      <w:r w:rsidRPr="00DF5771">
        <w:rPr>
          <w:rFonts w:ascii="Times New Roman" w:hAnsi="Times New Roman" w:cs="Times New Roman"/>
        </w:rPr>
        <w:t xml:space="preserve"> P, </w:t>
      </w:r>
      <w:proofErr w:type="spellStart"/>
      <w:r w:rsidRPr="00DF5771">
        <w:rPr>
          <w:rFonts w:ascii="Times New Roman" w:hAnsi="Times New Roman" w:cs="Times New Roman"/>
        </w:rPr>
        <w:t>Mavromatis</w:t>
      </w:r>
      <w:proofErr w:type="spellEnd"/>
      <w:r w:rsidRPr="00DF5771">
        <w:rPr>
          <w:rFonts w:ascii="Times New Roman" w:hAnsi="Times New Roman" w:cs="Times New Roman"/>
        </w:rPr>
        <w:t xml:space="preserve"> P, </w:t>
      </w:r>
      <w:proofErr w:type="spellStart"/>
      <w:r w:rsidRPr="00DF5771">
        <w:rPr>
          <w:rFonts w:ascii="Times New Roman" w:hAnsi="Times New Roman" w:cs="Times New Roman"/>
        </w:rPr>
        <w:t>Pastiadis</w:t>
      </w:r>
      <w:proofErr w:type="spellEnd"/>
      <w:r w:rsidRPr="00DF5771">
        <w:rPr>
          <w:rFonts w:ascii="Times New Roman" w:hAnsi="Times New Roman" w:cs="Times New Roman"/>
        </w:rPr>
        <w:t xml:space="preserve"> K, editors. Proceedings of t</w:t>
      </w:r>
      <w:r w:rsidRPr="00DF5771">
        <w:rPr>
          <w:rFonts w:ascii="Times New Roman" w:hAnsi="Times New Roman" w:cs="Times New Roman"/>
          <w:iCs/>
        </w:rPr>
        <w:t>he Joint Conference: 12</w:t>
      </w:r>
      <w:r w:rsidRPr="00DF5771">
        <w:rPr>
          <w:rFonts w:ascii="Times New Roman" w:hAnsi="Times New Roman" w:cs="Times New Roman"/>
          <w:iCs/>
          <w:vertAlign w:val="superscript"/>
        </w:rPr>
        <w:t>th</w:t>
      </w:r>
      <w:r w:rsidRPr="00DF5771">
        <w:rPr>
          <w:rFonts w:ascii="Times New Roman" w:hAnsi="Times New Roman" w:cs="Times New Roman"/>
          <w:iCs/>
        </w:rPr>
        <w:t xml:space="preserve"> Biennial International Conference on Music Perception and Cognition and 8</w:t>
      </w:r>
      <w:r w:rsidRPr="00DF5771">
        <w:rPr>
          <w:rFonts w:ascii="Times New Roman" w:hAnsi="Times New Roman" w:cs="Times New Roman"/>
          <w:iCs/>
          <w:vertAlign w:val="superscript"/>
        </w:rPr>
        <w:t>th</w:t>
      </w:r>
      <w:r w:rsidRPr="00DF5771">
        <w:rPr>
          <w:rFonts w:ascii="Times New Roman" w:hAnsi="Times New Roman" w:cs="Times New Roman"/>
          <w:iCs/>
        </w:rPr>
        <w:t xml:space="preserve"> Triennial Conference of the European Society for the Cognitive Sciences of Music (ICMPC-ESCOM2012)</w:t>
      </w:r>
      <w:r w:rsidR="00DF5771">
        <w:rPr>
          <w:rFonts w:ascii="Times New Roman" w:hAnsi="Times New Roman" w:cs="Times New Roman"/>
          <w:iCs/>
        </w:rPr>
        <w:t xml:space="preserve"> Thessaloniki, Greece.</w:t>
      </w:r>
      <w:bookmarkStart w:id="0" w:name="_GoBack"/>
      <w:bookmarkEnd w:id="0"/>
      <w:r w:rsidRPr="00D349D3">
        <w:rPr>
          <w:rFonts w:ascii="Times New Roman" w:hAnsi="Times New Roman" w:cs="Times New Roman"/>
          <w:i/>
          <w:iCs/>
        </w:rPr>
        <w:t xml:space="preserve"> </w:t>
      </w:r>
      <w:r w:rsidRPr="00D349D3">
        <w:rPr>
          <w:rFonts w:ascii="Times New Roman" w:hAnsi="Times New Roman" w:cs="Times New Roman"/>
          <w:iCs/>
        </w:rPr>
        <w:t>pp</w:t>
      </w:r>
      <w:r w:rsidR="00DF5771">
        <w:rPr>
          <w:rFonts w:ascii="Times New Roman" w:hAnsi="Times New Roman" w:cs="Times New Roman"/>
          <w:iCs/>
        </w:rPr>
        <w:t>.</w:t>
      </w:r>
      <w:r w:rsidRPr="00D349D3">
        <w:rPr>
          <w:rFonts w:ascii="Times New Roman" w:hAnsi="Times New Roman" w:cs="Times New Roman"/>
          <w:iCs/>
        </w:rPr>
        <w:t xml:space="preserve"> 292-299.</w:t>
      </w:r>
    </w:p>
    <w:p w:rsidR="00D101A4" w:rsidRDefault="00D101A4">
      <w:pPr>
        <w:spacing w:line="200" w:lineRule="atLeast"/>
      </w:pPr>
    </w:p>
    <w:p w:rsidR="00D101A4" w:rsidRDefault="00D101A4">
      <w:pPr>
        <w:spacing w:line="200" w:lineRule="atLeast"/>
      </w:pPr>
    </w:p>
    <w:p w:rsidR="00D101A4" w:rsidRDefault="00D101A4">
      <w:pPr>
        <w:spacing w:line="200" w:lineRule="atLeast"/>
      </w:pPr>
    </w:p>
    <w:p w:rsidR="00D101A4" w:rsidRDefault="00D101A4">
      <w:pPr>
        <w:spacing w:line="200" w:lineRule="atLeast"/>
      </w:pPr>
    </w:p>
    <w:sectPr w:rsidR="00D101A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5A5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59331D"/>
    <w:multiLevelType w:val="hybridMultilevel"/>
    <w:tmpl w:val="AF6E98EE"/>
    <w:lvl w:ilvl="0" w:tplc="4F421F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D1"/>
    <w:rsid w:val="003004D1"/>
    <w:rsid w:val="008147E1"/>
    <w:rsid w:val="00C02172"/>
    <w:rsid w:val="00D101A4"/>
    <w:rsid w:val="00D349D3"/>
    <w:rsid w:val="00DF5771"/>
    <w:rsid w:val="00E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NoSpacing2">
    <w:name w:val="No Spacing2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</w:rPr>
  </w:style>
  <w:style w:type="paragraph" w:customStyle="1" w:styleId="Geenafstand1">
    <w:name w:val="Geen afstand1"/>
    <w:rsid w:val="008147E1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paragraph" w:customStyle="1" w:styleId="NoSpacing1">
    <w:name w:val="No Spacing1"/>
    <w:rsid w:val="00D349D3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character" w:styleId="Nadruk">
    <w:name w:val="Emphasis"/>
    <w:uiPriority w:val="20"/>
    <w:qFormat/>
    <w:rsid w:val="00D349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NoSpacing2">
    <w:name w:val="No Spacing2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</w:rPr>
  </w:style>
  <w:style w:type="paragraph" w:customStyle="1" w:styleId="Geenafstand1">
    <w:name w:val="Geen afstand1"/>
    <w:rsid w:val="008147E1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paragraph" w:customStyle="1" w:styleId="NoSpacing1">
    <w:name w:val="No Spacing1"/>
    <w:rsid w:val="00D349D3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character" w:styleId="Nadruk">
    <w:name w:val="Emphasis"/>
    <w:uiPriority w:val="20"/>
    <w:qFormat/>
    <w:rsid w:val="00D34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 van Vugt</dc:creator>
  <cp:lastModifiedBy>user</cp:lastModifiedBy>
  <cp:revision>3</cp:revision>
  <cp:lastPrinted>1900-12-31T23:00:00Z</cp:lastPrinted>
  <dcterms:created xsi:type="dcterms:W3CDTF">2014-02-18T08:22:00Z</dcterms:created>
  <dcterms:modified xsi:type="dcterms:W3CDTF">2014-02-28T11:57:00Z</dcterms:modified>
</cp:coreProperties>
</file>