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923" w:rsidRDefault="003C0923" w:rsidP="003C0923">
      <w:r w:rsidRPr="00395942">
        <w:rPr>
          <w:b/>
        </w:rPr>
        <w:t>Supplemental</w:t>
      </w:r>
      <w:r>
        <w:rPr>
          <w:b/>
        </w:rPr>
        <w:t xml:space="preserve"> T</w:t>
      </w:r>
      <w:r w:rsidRPr="00395942">
        <w:rPr>
          <w:b/>
        </w:rPr>
        <w:t xml:space="preserve">able </w:t>
      </w:r>
      <w:r w:rsidR="00B87D2F">
        <w:rPr>
          <w:b/>
        </w:rPr>
        <w:t>S</w:t>
      </w:r>
      <w:r w:rsidRPr="00395942">
        <w:rPr>
          <w:b/>
        </w:rPr>
        <w:t>2</w:t>
      </w:r>
      <w:r w:rsidRPr="00395942">
        <w:t xml:space="preserve"> Associations between BMI (kg/cm</w:t>
      </w:r>
      <w:r w:rsidRPr="00395942">
        <w:rPr>
          <w:vertAlign w:val="superscript"/>
        </w:rPr>
        <w:t>2</w:t>
      </w:r>
      <w:r w:rsidRPr="00395942">
        <w:t xml:space="preserve">) and risk of hip fracture according to smoking status in elderly women and men </w:t>
      </w:r>
      <w:r w:rsidR="003B02D9">
        <w:br/>
      </w:r>
      <w:r w:rsidRPr="00395942">
        <w:t>(n = 2091)</w:t>
      </w:r>
      <w:r>
        <w:t xml:space="preserve"> in t</w:t>
      </w:r>
      <w:r w:rsidRPr="00395942">
        <w:t xml:space="preserve">he Hordaland Health Study. Cox proportional hazards regression models showing hazard ratio between BMI and hip fracture within each smoking category, and differences in HRs between each smoking category compared to never smokers. </w:t>
      </w:r>
    </w:p>
    <w:tbl>
      <w:tblPr>
        <w:tblW w:w="5000" w:type="pct"/>
        <w:tblBorders>
          <w:top w:val="single" w:sz="4" w:space="0" w:color="auto"/>
          <w:bottom w:val="single" w:sz="4" w:space="0" w:color="auto"/>
          <w:right w:val="single" w:sz="4" w:space="0" w:color="auto"/>
        </w:tblBorders>
        <w:tblLayout w:type="fixed"/>
        <w:tblCellMar>
          <w:top w:w="57" w:type="dxa"/>
          <w:bottom w:w="57" w:type="dxa"/>
        </w:tblCellMar>
        <w:tblLook w:val="01E0" w:firstRow="1" w:lastRow="1" w:firstColumn="1" w:lastColumn="1" w:noHBand="0" w:noVBand="0"/>
      </w:tblPr>
      <w:tblGrid>
        <w:gridCol w:w="1313"/>
        <w:gridCol w:w="779"/>
        <w:gridCol w:w="1396"/>
        <w:gridCol w:w="1015"/>
        <w:gridCol w:w="788"/>
        <w:gridCol w:w="1231"/>
        <w:gridCol w:w="956"/>
        <w:gridCol w:w="993"/>
        <w:gridCol w:w="1212"/>
        <w:gridCol w:w="1445"/>
        <w:gridCol w:w="688"/>
        <w:gridCol w:w="1374"/>
        <w:gridCol w:w="1030"/>
      </w:tblGrid>
      <w:tr w:rsidR="003C0923" w:rsidRPr="00395942" w:rsidTr="00405871">
        <w:trPr>
          <w:trHeight w:val="20"/>
        </w:trPr>
        <w:tc>
          <w:tcPr>
            <w:tcW w:w="462" w:type="pct"/>
            <w:tcBorders>
              <w:top w:val="single" w:sz="4" w:space="0" w:color="auto"/>
            </w:tcBorders>
          </w:tcPr>
          <w:p w:rsidR="003C0923" w:rsidRPr="00395942" w:rsidRDefault="003C0923" w:rsidP="00DC1AA2">
            <w:pPr>
              <w:contextualSpacing/>
              <w:rPr>
                <w:sz w:val="20"/>
              </w:rPr>
            </w:pPr>
          </w:p>
        </w:tc>
        <w:tc>
          <w:tcPr>
            <w:tcW w:w="2168" w:type="pct"/>
            <w:gridSpan w:val="6"/>
            <w:tcBorders>
              <w:top w:val="single" w:sz="4" w:space="0" w:color="auto"/>
              <w:bottom w:val="single" w:sz="4" w:space="0" w:color="auto"/>
            </w:tcBorders>
          </w:tcPr>
          <w:p w:rsidR="003C0923" w:rsidRPr="00395942" w:rsidRDefault="003C0923" w:rsidP="00DC1AA2">
            <w:pPr>
              <w:contextualSpacing/>
              <w:jc w:val="center"/>
              <w:rPr>
                <w:sz w:val="20"/>
              </w:rPr>
            </w:pPr>
            <w:r w:rsidRPr="00395942">
              <w:rPr>
                <w:sz w:val="20"/>
              </w:rPr>
              <w:t xml:space="preserve">Adjusted for sex </w:t>
            </w:r>
          </w:p>
        </w:tc>
        <w:tc>
          <w:tcPr>
            <w:tcW w:w="2371" w:type="pct"/>
            <w:gridSpan w:val="6"/>
            <w:tcBorders>
              <w:top w:val="single" w:sz="4" w:space="0" w:color="auto"/>
              <w:bottom w:val="single" w:sz="4" w:space="0" w:color="auto"/>
              <w:right w:val="nil"/>
            </w:tcBorders>
          </w:tcPr>
          <w:p w:rsidR="003C0923" w:rsidRPr="00395942" w:rsidRDefault="003C0923" w:rsidP="00DC1AA2">
            <w:pPr>
              <w:contextualSpacing/>
              <w:jc w:val="center"/>
              <w:rPr>
                <w:sz w:val="20"/>
              </w:rPr>
            </w:pPr>
            <w:r w:rsidRPr="00395942">
              <w:rPr>
                <w:sz w:val="20"/>
              </w:rPr>
              <w:t>Adjusted for sex, physical activity and BMD</w:t>
            </w:r>
          </w:p>
        </w:tc>
      </w:tr>
      <w:tr w:rsidR="003C0923" w:rsidRPr="00395942" w:rsidTr="00405871">
        <w:trPr>
          <w:trHeight w:val="20"/>
        </w:trPr>
        <w:tc>
          <w:tcPr>
            <w:tcW w:w="462" w:type="pct"/>
          </w:tcPr>
          <w:p w:rsidR="003C0923" w:rsidRPr="00395942" w:rsidRDefault="003C0923" w:rsidP="00DC1AA2">
            <w:pPr>
              <w:contextualSpacing/>
              <w:rPr>
                <w:sz w:val="20"/>
              </w:rPr>
            </w:pPr>
          </w:p>
        </w:tc>
        <w:tc>
          <w:tcPr>
            <w:tcW w:w="1122" w:type="pct"/>
            <w:gridSpan w:val="3"/>
            <w:tcBorders>
              <w:top w:val="single" w:sz="4" w:space="0" w:color="auto"/>
              <w:bottom w:val="single" w:sz="4" w:space="0" w:color="auto"/>
            </w:tcBorders>
          </w:tcPr>
          <w:p w:rsidR="003C0923" w:rsidRPr="00395942" w:rsidRDefault="00455BF3" w:rsidP="00DC1AA2">
            <w:pPr>
              <w:contextualSpacing/>
              <w:rPr>
                <w:sz w:val="20"/>
              </w:rPr>
            </w:pPr>
            <w:r>
              <w:rPr>
                <w:sz w:val="20"/>
              </w:rPr>
              <w:t>HR for hip fracture by BMI</w:t>
            </w:r>
          </w:p>
        </w:tc>
        <w:tc>
          <w:tcPr>
            <w:tcW w:w="1046" w:type="pct"/>
            <w:gridSpan w:val="3"/>
            <w:tcBorders>
              <w:top w:val="single" w:sz="4" w:space="0" w:color="auto"/>
              <w:bottom w:val="single" w:sz="4" w:space="0" w:color="auto"/>
            </w:tcBorders>
          </w:tcPr>
          <w:p w:rsidR="003C0923" w:rsidRPr="00395942" w:rsidRDefault="003C0923" w:rsidP="00DC1AA2">
            <w:pPr>
              <w:contextualSpacing/>
              <w:rPr>
                <w:sz w:val="20"/>
              </w:rPr>
            </w:pPr>
            <w:r w:rsidRPr="00395942">
              <w:rPr>
                <w:sz w:val="20"/>
              </w:rPr>
              <w:t>Differences in HR</w:t>
            </w:r>
          </w:p>
        </w:tc>
        <w:tc>
          <w:tcPr>
            <w:tcW w:w="1283" w:type="pct"/>
            <w:gridSpan w:val="3"/>
            <w:tcBorders>
              <w:top w:val="single" w:sz="4" w:space="0" w:color="auto"/>
              <w:bottom w:val="single" w:sz="4" w:space="0" w:color="auto"/>
            </w:tcBorders>
          </w:tcPr>
          <w:p w:rsidR="003C0923" w:rsidRPr="00395942" w:rsidRDefault="00455BF3" w:rsidP="00DC1AA2">
            <w:pPr>
              <w:contextualSpacing/>
              <w:rPr>
                <w:sz w:val="20"/>
              </w:rPr>
            </w:pPr>
            <w:r>
              <w:rPr>
                <w:sz w:val="20"/>
              </w:rPr>
              <w:t>HR for hip fracture by BMI</w:t>
            </w:r>
            <w:bookmarkStart w:id="0" w:name="_GoBack"/>
            <w:bookmarkEnd w:id="0"/>
          </w:p>
        </w:tc>
        <w:tc>
          <w:tcPr>
            <w:tcW w:w="1087" w:type="pct"/>
            <w:gridSpan w:val="3"/>
            <w:tcBorders>
              <w:top w:val="single" w:sz="4" w:space="0" w:color="auto"/>
              <w:bottom w:val="single" w:sz="4" w:space="0" w:color="auto"/>
              <w:right w:val="nil"/>
            </w:tcBorders>
          </w:tcPr>
          <w:p w:rsidR="003C0923" w:rsidRPr="00395942" w:rsidRDefault="003C0923" w:rsidP="00DC1AA2">
            <w:pPr>
              <w:contextualSpacing/>
              <w:rPr>
                <w:sz w:val="20"/>
              </w:rPr>
            </w:pPr>
            <w:r w:rsidRPr="00395942">
              <w:rPr>
                <w:sz w:val="20"/>
              </w:rPr>
              <w:t>Differences in HR</w:t>
            </w:r>
          </w:p>
        </w:tc>
      </w:tr>
      <w:tr w:rsidR="003C0923" w:rsidRPr="00395942" w:rsidTr="00405871">
        <w:trPr>
          <w:trHeight w:val="20"/>
        </w:trPr>
        <w:tc>
          <w:tcPr>
            <w:tcW w:w="462" w:type="pct"/>
            <w:tcBorders>
              <w:bottom w:val="single" w:sz="4" w:space="0" w:color="auto"/>
            </w:tcBorders>
            <w:vAlign w:val="center"/>
          </w:tcPr>
          <w:p w:rsidR="003C0923" w:rsidRPr="00395942" w:rsidRDefault="00DC1AA2" w:rsidP="00DC1AA2">
            <w:pPr>
              <w:contextualSpacing/>
              <w:rPr>
                <w:sz w:val="20"/>
              </w:rPr>
            </w:pPr>
            <w:r w:rsidRPr="00395942">
              <w:rPr>
                <w:sz w:val="20"/>
              </w:rPr>
              <w:t xml:space="preserve">Smoking </w:t>
            </w:r>
            <w:proofErr w:type="spellStart"/>
            <w:r w:rsidRPr="00395942">
              <w:rPr>
                <w:sz w:val="20"/>
              </w:rPr>
              <w:t>categories</w:t>
            </w:r>
            <w:r w:rsidRPr="00395942">
              <w:rPr>
                <w:sz w:val="20"/>
                <w:vertAlign w:val="superscript"/>
              </w:rPr>
              <w:t>a</w:t>
            </w:r>
            <w:proofErr w:type="spellEnd"/>
          </w:p>
        </w:tc>
        <w:tc>
          <w:tcPr>
            <w:tcW w:w="274"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HR</w:t>
            </w:r>
          </w:p>
        </w:tc>
        <w:tc>
          <w:tcPr>
            <w:tcW w:w="491"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95% CI</w:t>
            </w:r>
          </w:p>
        </w:tc>
        <w:tc>
          <w:tcPr>
            <w:tcW w:w="357"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P value</w:t>
            </w:r>
          </w:p>
        </w:tc>
        <w:tc>
          <w:tcPr>
            <w:tcW w:w="277"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HR</w:t>
            </w:r>
          </w:p>
        </w:tc>
        <w:tc>
          <w:tcPr>
            <w:tcW w:w="433"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95% CI</w:t>
            </w:r>
          </w:p>
        </w:tc>
        <w:tc>
          <w:tcPr>
            <w:tcW w:w="336"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P value</w:t>
            </w:r>
          </w:p>
        </w:tc>
        <w:tc>
          <w:tcPr>
            <w:tcW w:w="349"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HR</w:t>
            </w:r>
          </w:p>
        </w:tc>
        <w:tc>
          <w:tcPr>
            <w:tcW w:w="426"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95% CI</w:t>
            </w:r>
          </w:p>
        </w:tc>
        <w:tc>
          <w:tcPr>
            <w:tcW w:w="508"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P value</w:t>
            </w:r>
          </w:p>
        </w:tc>
        <w:tc>
          <w:tcPr>
            <w:tcW w:w="242"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HR</w:t>
            </w:r>
          </w:p>
        </w:tc>
        <w:tc>
          <w:tcPr>
            <w:tcW w:w="483" w:type="pct"/>
            <w:tcBorders>
              <w:top w:val="single" w:sz="4" w:space="0" w:color="auto"/>
              <w:bottom w:val="single" w:sz="4" w:space="0" w:color="auto"/>
            </w:tcBorders>
            <w:vAlign w:val="center"/>
          </w:tcPr>
          <w:p w:rsidR="003C0923" w:rsidRPr="00395942" w:rsidRDefault="003C0923" w:rsidP="00DC1AA2">
            <w:pPr>
              <w:contextualSpacing/>
              <w:rPr>
                <w:sz w:val="20"/>
              </w:rPr>
            </w:pPr>
            <w:r w:rsidRPr="00395942">
              <w:rPr>
                <w:sz w:val="20"/>
              </w:rPr>
              <w:t>95% CI</w:t>
            </w:r>
          </w:p>
        </w:tc>
        <w:tc>
          <w:tcPr>
            <w:tcW w:w="362" w:type="pct"/>
            <w:tcBorders>
              <w:top w:val="single" w:sz="4" w:space="0" w:color="auto"/>
              <w:bottom w:val="single" w:sz="4" w:space="0" w:color="auto"/>
              <w:right w:val="nil"/>
            </w:tcBorders>
            <w:vAlign w:val="center"/>
          </w:tcPr>
          <w:p w:rsidR="003C0923" w:rsidRPr="00395942" w:rsidRDefault="003C0923" w:rsidP="00DC1AA2">
            <w:pPr>
              <w:contextualSpacing/>
              <w:rPr>
                <w:sz w:val="20"/>
              </w:rPr>
            </w:pPr>
            <w:r w:rsidRPr="00395942">
              <w:rPr>
                <w:sz w:val="20"/>
              </w:rPr>
              <w:t>P value</w:t>
            </w:r>
          </w:p>
        </w:tc>
      </w:tr>
      <w:tr w:rsidR="003C0923" w:rsidRPr="00395942" w:rsidTr="00405871">
        <w:trPr>
          <w:trHeight w:val="20"/>
        </w:trPr>
        <w:tc>
          <w:tcPr>
            <w:tcW w:w="462" w:type="pct"/>
            <w:tcBorders>
              <w:top w:val="single" w:sz="4" w:space="0" w:color="auto"/>
            </w:tcBorders>
          </w:tcPr>
          <w:p w:rsidR="003C0923" w:rsidRPr="00395942" w:rsidRDefault="003C0923" w:rsidP="00DC1AA2">
            <w:pPr>
              <w:contextualSpacing/>
              <w:rPr>
                <w:sz w:val="20"/>
              </w:rPr>
            </w:pPr>
            <w:r w:rsidRPr="00395942">
              <w:rPr>
                <w:sz w:val="20"/>
              </w:rPr>
              <w:t>Heavy</w:t>
            </w:r>
          </w:p>
        </w:tc>
        <w:tc>
          <w:tcPr>
            <w:tcW w:w="274" w:type="pct"/>
            <w:tcBorders>
              <w:top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0.79</w:t>
            </w:r>
          </w:p>
        </w:tc>
        <w:tc>
          <w:tcPr>
            <w:tcW w:w="491" w:type="pct"/>
            <w:tcBorders>
              <w:top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0.60, 1.03</w:t>
            </w:r>
          </w:p>
        </w:tc>
        <w:tc>
          <w:tcPr>
            <w:tcW w:w="357" w:type="pct"/>
            <w:tcBorders>
              <w:top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0.077</w:t>
            </w:r>
          </w:p>
        </w:tc>
        <w:tc>
          <w:tcPr>
            <w:tcW w:w="277" w:type="pct"/>
            <w:tcBorders>
              <w:top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0.86</w:t>
            </w:r>
          </w:p>
        </w:tc>
        <w:tc>
          <w:tcPr>
            <w:tcW w:w="433" w:type="pct"/>
            <w:tcBorders>
              <w:top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0.60, 1.24</w:t>
            </w:r>
          </w:p>
        </w:tc>
        <w:tc>
          <w:tcPr>
            <w:tcW w:w="336" w:type="pct"/>
            <w:tcBorders>
              <w:top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0.426</w:t>
            </w:r>
          </w:p>
        </w:tc>
        <w:tc>
          <w:tcPr>
            <w:tcW w:w="349" w:type="pct"/>
            <w:tcBorders>
              <w:top w:val="single" w:sz="4" w:space="0" w:color="auto"/>
            </w:tcBorders>
          </w:tcPr>
          <w:p w:rsidR="003C0923" w:rsidRPr="00395942" w:rsidRDefault="003C0923" w:rsidP="00DC1AA2">
            <w:pPr>
              <w:contextualSpacing/>
              <w:rPr>
                <w:sz w:val="20"/>
              </w:rPr>
            </w:pPr>
            <w:r w:rsidRPr="00395942">
              <w:rPr>
                <w:sz w:val="20"/>
              </w:rPr>
              <w:t>0.94</w:t>
            </w:r>
          </w:p>
        </w:tc>
        <w:tc>
          <w:tcPr>
            <w:tcW w:w="426" w:type="pct"/>
            <w:tcBorders>
              <w:top w:val="single" w:sz="4" w:space="0" w:color="auto"/>
            </w:tcBorders>
          </w:tcPr>
          <w:p w:rsidR="003C0923" w:rsidRPr="00395942" w:rsidRDefault="003C0923" w:rsidP="00DC1AA2">
            <w:pPr>
              <w:contextualSpacing/>
              <w:rPr>
                <w:sz w:val="20"/>
              </w:rPr>
            </w:pPr>
            <w:r w:rsidRPr="00395942">
              <w:rPr>
                <w:sz w:val="20"/>
              </w:rPr>
              <w:t>0.72, 1.22</w:t>
            </w:r>
          </w:p>
        </w:tc>
        <w:tc>
          <w:tcPr>
            <w:tcW w:w="508" w:type="pct"/>
            <w:tcBorders>
              <w:top w:val="single" w:sz="4" w:space="0" w:color="auto"/>
            </w:tcBorders>
          </w:tcPr>
          <w:p w:rsidR="003C0923" w:rsidRPr="00395942" w:rsidRDefault="003C0923" w:rsidP="00DC1AA2">
            <w:pPr>
              <w:contextualSpacing/>
              <w:rPr>
                <w:sz w:val="20"/>
              </w:rPr>
            </w:pPr>
            <w:r w:rsidRPr="00395942">
              <w:rPr>
                <w:sz w:val="20"/>
              </w:rPr>
              <w:t>0.619</w:t>
            </w:r>
          </w:p>
        </w:tc>
        <w:tc>
          <w:tcPr>
            <w:tcW w:w="242" w:type="pct"/>
            <w:tcBorders>
              <w:top w:val="single" w:sz="4" w:space="0" w:color="auto"/>
            </w:tcBorders>
          </w:tcPr>
          <w:p w:rsidR="003C0923" w:rsidRPr="00395942" w:rsidRDefault="003C0923" w:rsidP="00DC1AA2">
            <w:pPr>
              <w:contextualSpacing/>
              <w:rPr>
                <w:sz w:val="20"/>
              </w:rPr>
            </w:pPr>
            <w:r w:rsidRPr="00395942">
              <w:rPr>
                <w:sz w:val="20"/>
              </w:rPr>
              <w:t>0.98</w:t>
            </w:r>
          </w:p>
        </w:tc>
        <w:tc>
          <w:tcPr>
            <w:tcW w:w="483" w:type="pct"/>
            <w:tcBorders>
              <w:top w:val="single" w:sz="4" w:space="0" w:color="auto"/>
            </w:tcBorders>
          </w:tcPr>
          <w:p w:rsidR="003C0923" w:rsidRPr="00395942" w:rsidRDefault="003C0923" w:rsidP="00DC1AA2">
            <w:pPr>
              <w:contextualSpacing/>
              <w:rPr>
                <w:sz w:val="20"/>
              </w:rPr>
            </w:pPr>
            <w:r w:rsidRPr="00395942">
              <w:rPr>
                <w:sz w:val="20"/>
              </w:rPr>
              <w:t>0.68, 1.41</w:t>
            </w:r>
          </w:p>
        </w:tc>
        <w:tc>
          <w:tcPr>
            <w:tcW w:w="362" w:type="pct"/>
            <w:tcBorders>
              <w:top w:val="single" w:sz="4" w:space="0" w:color="auto"/>
              <w:right w:val="nil"/>
            </w:tcBorders>
          </w:tcPr>
          <w:p w:rsidR="003C0923" w:rsidRPr="00395942" w:rsidRDefault="003C0923" w:rsidP="00DC1AA2">
            <w:pPr>
              <w:contextualSpacing/>
              <w:rPr>
                <w:sz w:val="20"/>
              </w:rPr>
            </w:pPr>
            <w:r w:rsidRPr="00395942">
              <w:rPr>
                <w:sz w:val="20"/>
              </w:rPr>
              <w:t>0.905</w:t>
            </w:r>
          </w:p>
        </w:tc>
      </w:tr>
      <w:tr w:rsidR="003C0923" w:rsidRPr="00395942" w:rsidTr="00405871">
        <w:trPr>
          <w:trHeight w:val="20"/>
        </w:trPr>
        <w:tc>
          <w:tcPr>
            <w:tcW w:w="462" w:type="pct"/>
          </w:tcPr>
          <w:p w:rsidR="003C0923" w:rsidRPr="00395942" w:rsidRDefault="003C0923" w:rsidP="00DC1AA2">
            <w:pPr>
              <w:contextualSpacing/>
              <w:rPr>
                <w:sz w:val="20"/>
              </w:rPr>
            </w:pPr>
            <w:r w:rsidRPr="00395942">
              <w:rPr>
                <w:sz w:val="20"/>
              </w:rPr>
              <w:t xml:space="preserve">Moderate </w:t>
            </w:r>
          </w:p>
        </w:tc>
        <w:tc>
          <w:tcPr>
            <w:tcW w:w="274" w:type="pct"/>
          </w:tcPr>
          <w:p w:rsidR="003C0923" w:rsidRPr="00395942" w:rsidRDefault="003C0923" w:rsidP="00DC1AA2">
            <w:pPr>
              <w:contextualSpacing/>
              <w:rPr>
                <w:rFonts w:eastAsia="Calibri"/>
                <w:sz w:val="20"/>
                <w:lang w:eastAsia="en-US"/>
              </w:rPr>
            </w:pPr>
            <w:r w:rsidRPr="00395942">
              <w:rPr>
                <w:rFonts w:eastAsia="Calibri"/>
                <w:sz w:val="20"/>
                <w:lang w:eastAsia="en-US"/>
              </w:rPr>
              <w:t>0.80</w:t>
            </w:r>
          </w:p>
        </w:tc>
        <w:tc>
          <w:tcPr>
            <w:tcW w:w="491" w:type="pct"/>
          </w:tcPr>
          <w:p w:rsidR="003C0923" w:rsidRPr="00395942" w:rsidRDefault="003C0923" w:rsidP="00DC1AA2">
            <w:pPr>
              <w:contextualSpacing/>
              <w:rPr>
                <w:rFonts w:eastAsia="Calibri"/>
                <w:sz w:val="20"/>
                <w:lang w:eastAsia="en-US"/>
              </w:rPr>
            </w:pPr>
            <w:r w:rsidRPr="00395942">
              <w:rPr>
                <w:rFonts w:eastAsia="Calibri"/>
                <w:sz w:val="20"/>
                <w:lang w:eastAsia="en-US"/>
              </w:rPr>
              <w:t>0.62, 1.04</w:t>
            </w:r>
          </w:p>
        </w:tc>
        <w:tc>
          <w:tcPr>
            <w:tcW w:w="357" w:type="pct"/>
          </w:tcPr>
          <w:p w:rsidR="003C0923" w:rsidRPr="00395942" w:rsidRDefault="003C0923" w:rsidP="00DC1AA2">
            <w:pPr>
              <w:contextualSpacing/>
              <w:rPr>
                <w:rFonts w:eastAsia="Calibri"/>
                <w:sz w:val="20"/>
                <w:lang w:eastAsia="en-US"/>
              </w:rPr>
            </w:pPr>
            <w:r w:rsidRPr="00395942">
              <w:rPr>
                <w:rFonts w:eastAsia="Calibri"/>
                <w:sz w:val="20"/>
                <w:lang w:eastAsia="en-US"/>
              </w:rPr>
              <w:t>0.090</w:t>
            </w:r>
          </w:p>
        </w:tc>
        <w:tc>
          <w:tcPr>
            <w:tcW w:w="277" w:type="pct"/>
          </w:tcPr>
          <w:p w:rsidR="003C0923" w:rsidRPr="00395942" w:rsidRDefault="003C0923" w:rsidP="00DC1AA2">
            <w:pPr>
              <w:contextualSpacing/>
              <w:rPr>
                <w:rFonts w:eastAsia="Calibri"/>
                <w:sz w:val="20"/>
                <w:lang w:eastAsia="en-US"/>
              </w:rPr>
            </w:pPr>
            <w:r w:rsidRPr="00395942">
              <w:rPr>
                <w:rFonts w:eastAsia="Calibri"/>
                <w:sz w:val="20"/>
                <w:lang w:eastAsia="en-US"/>
              </w:rPr>
              <w:t>0.88</w:t>
            </w:r>
          </w:p>
        </w:tc>
        <w:tc>
          <w:tcPr>
            <w:tcW w:w="433" w:type="pct"/>
          </w:tcPr>
          <w:p w:rsidR="003C0923" w:rsidRPr="00395942" w:rsidRDefault="003C0923" w:rsidP="00DC1AA2">
            <w:pPr>
              <w:contextualSpacing/>
              <w:rPr>
                <w:rFonts w:eastAsia="Calibri"/>
                <w:sz w:val="20"/>
                <w:lang w:eastAsia="en-US"/>
              </w:rPr>
            </w:pPr>
            <w:r w:rsidRPr="00395942">
              <w:rPr>
                <w:rFonts w:eastAsia="Calibri"/>
                <w:sz w:val="20"/>
                <w:lang w:eastAsia="en-US"/>
              </w:rPr>
              <w:t>0.63, 1.23</w:t>
            </w:r>
          </w:p>
        </w:tc>
        <w:tc>
          <w:tcPr>
            <w:tcW w:w="336" w:type="pct"/>
          </w:tcPr>
          <w:p w:rsidR="003C0923" w:rsidRPr="00395942" w:rsidRDefault="003C0923" w:rsidP="00DC1AA2">
            <w:pPr>
              <w:contextualSpacing/>
              <w:rPr>
                <w:rFonts w:eastAsia="Calibri"/>
                <w:sz w:val="20"/>
                <w:lang w:eastAsia="en-US"/>
              </w:rPr>
            </w:pPr>
            <w:r w:rsidRPr="00395942">
              <w:rPr>
                <w:rFonts w:eastAsia="Calibri"/>
                <w:sz w:val="20"/>
                <w:lang w:eastAsia="en-US"/>
              </w:rPr>
              <w:t>0.465</w:t>
            </w:r>
          </w:p>
        </w:tc>
        <w:tc>
          <w:tcPr>
            <w:tcW w:w="349" w:type="pct"/>
          </w:tcPr>
          <w:p w:rsidR="003C0923" w:rsidRPr="00395942" w:rsidRDefault="003C0923" w:rsidP="00DC1AA2">
            <w:pPr>
              <w:contextualSpacing/>
              <w:rPr>
                <w:rFonts w:eastAsia="Calibri"/>
                <w:sz w:val="20"/>
                <w:lang w:eastAsia="en-US"/>
              </w:rPr>
            </w:pPr>
            <w:r w:rsidRPr="00395942">
              <w:rPr>
                <w:rFonts w:eastAsia="Calibri"/>
                <w:sz w:val="20"/>
                <w:lang w:eastAsia="en-US"/>
              </w:rPr>
              <w:t>0.91</w:t>
            </w:r>
          </w:p>
        </w:tc>
        <w:tc>
          <w:tcPr>
            <w:tcW w:w="426" w:type="pct"/>
          </w:tcPr>
          <w:p w:rsidR="003C0923" w:rsidRPr="00395942" w:rsidRDefault="003C0923" w:rsidP="00DC1AA2">
            <w:pPr>
              <w:contextualSpacing/>
              <w:rPr>
                <w:rFonts w:eastAsia="Calibri"/>
                <w:sz w:val="20"/>
                <w:lang w:eastAsia="en-US"/>
              </w:rPr>
            </w:pPr>
            <w:r w:rsidRPr="00395942">
              <w:rPr>
                <w:rFonts w:eastAsia="Calibri"/>
                <w:sz w:val="20"/>
                <w:lang w:eastAsia="en-US"/>
              </w:rPr>
              <w:t>0.71, 1.17</w:t>
            </w:r>
          </w:p>
        </w:tc>
        <w:tc>
          <w:tcPr>
            <w:tcW w:w="508" w:type="pct"/>
          </w:tcPr>
          <w:p w:rsidR="003C0923" w:rsidRPr="00395942" w:rsidRDefault="003C0923" w:rsidP="00DC1AA2">
            <w:pPr>
              <w:contextualSpacing/>
              <w:rPr>
                <w:rFonts w:eastAsia="Calibri"/>
                <w:sz w:val="20"/>
                <w:lang w:eastAsia="en-US"/>
              </w:rPr>
            </w:pPr>
            <w:r w:rsidRPr="00395942">
              <w:rPr>
                <w:rFonts w:eastAsia="Calibri"/>
                <w:sz w:val="20"/>
                <w:lang w:eastAsia="en-US"/>
              </w:rPr>
              <w:t>0.463</w:t>
            </w:r>
          </w:p>
        </w:tc>
        <w:tc>
          <w:tcPr>
            <w:tcW w:w="242" w:type="pct"/>
          </w:tcPr>
          <w:p w:rsidR="003C0923" w:rsidRPr="00395942" w:rsidRDefault="003C0923" w:rsidP="00DC1AA2">
            <w:pPr>
              <w:contextualSpacing/>
              <w:rPr>
                <w:rFonts w:eastAsia="Calibri"/>
                <w:sz w:val="20"/>
                <w:lang w:eastAsia="en-US"/>
              </w:rPr>
            </w:pPr>
            <w:r w:rsidRPr="00395942">
              <w:rPr>
                <w:rFonts w:eastAsia="Calibri"/>
                <w:sz w:val="20"/>
                <w:lang w:eastAsia="en-US"/>
              </w:rPr>
              <w:t>0.95</w:t>
            </w:r>
          </w:p>
        </w:tc>
        <w:tc>
          <w:tcPr>
            <w:tcW w:w="483" w:type="pct"/>
          </w:tcPr>
          <w:p w:rsidR="003C0923" w:rsidRPr="00395942" w:rsidRDefault="003C0923" w:rsidP="00DC1AA2">
            <w:pPr>
              <w:contextualSpacing/>
              <w:rPr>
                <w:rFonts w:eastAsia="Calibri"/>
                <w:sz w:val="20"/>
                <w:lang w:eastAsia="en-US"/>
              </w:rPr>
            </w:pPr>
            <w:r w:rsidRPr="00395942">
              <w:rPr>
                <w:rFonts w:eastAsia="Calibri"/>
                <w:sz w:val="20"/>
                <w:lang w:eastAsia="en-US"/>
              </w:rPr>
              <w:t>0.68, 1.33</w:t>
            </w:r>
          </w:p>
        </w:tc>
        <w:tc>
          <w:tcPr>
            <w:tcW w:w="362" w:type="pct"/>
            <w:tcBorders>
              <w:right w:val="nil"/>
            </w:tcBorders>
          </w:tcPr>
          <w:p w:rsidR="003C0923" w:rsidRPr="00395942" w:rsidRDefault="003C0923" w:rsidP="00DC1AA2">
            <w:pPr>
              <w:contextualSpacing/>
              <w:rPr>
                <w:rFonts w:eastAsia="Calibri"/>
                <w:sz w:val="20"/>
                <w:lang w:eastAsia="en-US"/>
              </w:rPr>
            </w:pPr>
            <w:r w:rsidRPr="00395942">
              <w:rPr>
                <w:rFonts w:eastAsia="Calibri"/>
                <w:sz w:val="20"/>
                <w:lang w:eastAsia="en-US"/>
              </w:rPr>
              <w:t>0.771</w:t>
            </w:r>
          </w:p>
        </w:tc>
      </w:tr>
      <w:tr w:rsidR="003C0923" w:rsidRPr="00395942" w:rsidTr="00405871">
        <w:trPr>
          <w:trHeight w:val="20"/>
        </w:trPr>
        <w:tc>
          <w:tcPr>
            <w:tcW w:w="462" w:type="pct"/>
          </w:tcPr>
          <w:p w:rsidR="003C0923" w:rsidRPr="00395942" w:rsidRDefault="003C0923" w:rsidP="00DC1AA2">
            <w:pPr>
              <w:contextualSpacing/>
              <w:rPr>
                <w:sz w:val="20"/>
              </w:rPr>
            </w:pPr>
            <w:r w:rsidRPr="00395942">
              <w:rPr>
                <w:sz w:val="20"/>
              </w:rPr>
              <w:t xml:space="preserve">Former </w:t>
            </w:r>
          </w:p>
        </w:tc>
        <w:tc>
          <w:tcPr>
            <w:tcW w:w="274" w:type="pct"/>
          </w:tcPr>
          <w:p w:rsidR="003C0923" w:rsidRPr="00395942" w:rsidRDefault="003C0923" w:rsidP="00DC1AA2">
            <w:pPr>
              <w:contextualSpacing/>
              <w:rPr>
                <w:rFonts w:eastAsia="Calibri"/>
                <w:sz w:val="20"/>
                <w:lang w:eastAsia="en-US"/>
              </w:rPr>
            </w:pPr>
            <w:r w:rsidRPr="00395942">
              <w:rPr>
                <w:rFonts w:eastAsia="Calibri"/>
                <w:sz w:val="20"/>
                <w:lang w:eastAsia="en-US"/>
              </w:rPr>
              <w:t>0.84</w:t>
            </w:r>
          </w:p>
        </w:tc>
        <w:tc>
          <w:tcPr>
            <w:tcW w:w="491" w:type="pct"/>
          </w:tcPr>
          <w:p w:rsidR="003C0923" w:rsidRPr="00395942" w:rsidRDefault="003C0923" w:rsidP="00DC1AA2">
            <w:pPr>
              <w:contextualSpacing/>
              <w:rPr>
                <w:rFonts w:eastAsia="Calibri"/>
                <w:sz w:val="20"/>
                <w:lang w:eastAsia="en-US"/>
              </w:rPr>
            </w:pPr>
            <w:r w:rsidRPr="00395942">
              <w:rPr>
                <w:rFonts w:eastAsia="Calibri"/>
                <w:sz w:val="20"/>
                <w:lang w:eastAsia="en-US"/>
              </w:rPr>
              <w:t>0.58, 1.21</w:t>
            </w:r>
          </w:p>
        </w:tc>
        <w:tc>
          <w:tcPr>
            <w:tcW w:w="357" w:type="pct"/>
          </w:tcPr>
          <w:p w:rsidR="003C0923" w:rsidRPr="00395942" w:rsidRDefault="003C0923" w:rsidP="00DC1AA2">
            <w:pPr>
              <w:contextualSpacing/>
              <w:rPr>
                <w:rFonts w:eastAsia="Calibri"/>
                <w:sz w:val="20"/>
                <w:lang w:eastAsia="en-US"/>
              </w:rPr>
            </w:pPr>
            <w:r w:rsidRPr="00395942">
              <w:rPr>
                <w:rFonts w:eastAsia="Calibri"/>
                <w:sz w:val="20"/>
                <w:lang w:eastAsia="en-US"/>
              </w:rPr>
              <w:t>0.348</w:t>
            </w:r>
          </w:p>
        </w:tc>
        <w:tc>
          <w:tcPr>
            <w:tcW w:w="277" w:type="pct"/>
          </w:tcPr>
          <w:p w:rsidR="003C0923" w:rsidRPr="00395942" w:rsidRDefault="003C0923" w:rsidP="00DC1AA2">
            <w:pPr>
              <w:contextualSpacing/>
              <w:rPr>
                <w:rFonts w:eastAsia="Calibri"/>
                <w:sz w:val="20"/>
                <w:lang w:eastAsia="en-US"/>
              </w:rPr>
            </w:pPr>
            <w:r w:rsidRPr="00395942">
              <w:rPr>
                <w:rFonts w:eastAsia="Calibri"/>
                <w:sz w:val="20"/>
                <w:lang w:eastAsia="en-US"/>
              </w:rPr>
              <w:t>0.92</w:t>
            </w:r>
          </w:p>
        </w:tc>
        <w:tc>
          <w:tcPr>
            <w:tcW w:w="433" w:type="pct"/>
          </w:tcPr>
          <w:p w:rsidR="003C0923" w:rsidRPr="00395942" w:rsidRDefault="003C0923" w:rsidP="00DC1AA2">
            <w:pPr>
              <w:contextualSpacing/>
              <w:rPr>
                <w:rFonts w:eastAsia="Calibri"/>
                <w:sz w:val="20"/>
                <w:lang w:eastAsia="en-US"/>
              </w:rPr>
            </w:pPr>
            <w:r w:rsidRPr="00395942">
              <w:rPr>
                <w:rFonts w:eastAsia="Calibri"/>
                <w:sz w:val="20"/>
                <w:lang w:eastAsia="en-US"/>
              </w:rPr>
              <w:t>0.60, 1.42</w:t>
            </w:r>
          </w:p>
        </w:tc>
        <w:tc>
          <w:tcPr>
            <w:tcW w:w="336" w:type="pct"/>
          </w:tcPr>
          <w:p w:rsidR="003C0923" w:rsidRPr="00395942" w:rsidRDefault="003C0923" w:rsidP="00DC1AA2">
            <w:pPr>
              <w:contextualSpacing/>
              <w:rPr>
                <w:rFonts w:eastAsia="Calibri"/>
                <w:sz w:val="20"/>
                <w:lang w:eastAsia="en-US"/>
              </w:rPr>
            </w:pPr>
            <w:r w:rsidRPr="00395942">
              <w:rPr>
                <w:rFonts w:eastAsia="Calibri"/>
                <w:sz w:val="20"/>
                <w:lang w:eastAsia="en-US"/>
              </w:rPr>
              <w:t>0.713</w:t>
            </w:r>
          </w:p>
        </w:tc>
        <w:tc>
          <w:tcPr>
            <w:tcW w:w="349" w:type="pct"/>
          </w:tcPr>
          <w:p w:rsidR="003C0923" w:rsidRPr="00395942" w:rsidRDefault="003C0923" w:rsidP="00DC1AA2">
            <w:pPr>
              <w:contextualSpacing/>
              <w:rPr>
                <w:rFonts w:eastAsia="Calibri"/>
                <w:sz w:val="20"/>
                <w:lang w:eastAsia="en-US"/>
              </w:rPr>
            </w:pPr>
            <w:r w:rsidRPr="00395942">
              <w:rPr>
                <w:rFonts w:eastAsia="Calibri"/>
                <w:sz w:val="20"/>
                <w:lang w:eastAsia="en-US"/>
              </w:rPr>
              <w:t>0.93</w:t>
            </w:r>
          </w:p>
        </w:tc>
        <w:tc>
          <w:tcPr>
            <w:tcW w:w="426" w:type="pct"/>
          </w:tcPr>
          <w:p w:rsidR="003C0923" w:rsidRPr="00395942" w:rsidRDefault="003C0923" w:rsidP="00DC1AA2">
            <w:pPr>
              <w:contextualSpacing/>
              <w:rPr>
                <w:rFonts w:eastAsia="Calibri"/>
                <w:sz w:val="20"/>
                <w:lang w:eastAsia="en-US"/>
              </w:rPr>
            </w:pPr>
            <w:r w:rsidRPr="00395942">
              <w:rPr>
                <w:rFonts w:eastAsia="Calibri"/>
                <w:sz w:val="20"/>
                <w:lang w:eastAsia="en-US"/>
              </w:rPr>
              <w:t>0.66, 1.33</w:t>
            </w:r>
          </w:p>
        </w:tc>
        <w:tc>
          <w:tcPr>
            <w:tcW w:w="508" w:type="pct"/>
          </w:tcPr>
          <w:p w:rsidR="003C0923" w:rsidRPr="00395942" w:rsidRDefault="003C0923" w:rsidP="00DC1AA2">
            <w:pPr>
              <w:contextualSpacing/>
              <w:rPr>
                <w:rFonts w:eastAsia="Calibri"/>
                <w:sz w:val="20"/>
                <w:lang w:eastAsia="en-US"/>
              </w:rPr>
            </w:pPr>
            <w:r w:rsidRPr="00395942">
              <w:rPr>
                <w:rFonts w:eastAsia="Calibri"/>
                <w:sz w:val="20"/>
                <w:lang w:eastAsia="en-US"/>
              </w:rPr>
              <w:t>0.705</w:t>
            </w:r>
          </w:p>
        </w:tc>
        <w:tc>
          <w:tcPr>
            <w:tcW w:w="242" w:type="pct"/>
          </w:tcPr>
          <w:p w:rsidR="003C0923" w:rsidRPr="00395942" w:rsidRDefault="003C0923" w:rsidP="00DC1AA2">
            <w:pPr>
              <w:contextualSpacing/>
              <w:rPr>
                <w:rFonts w:eastAsia="Calibri"/>
                <w:sz w:val="20"/>
                <w:lang w:eastAsia="en-US"/>
              </w:rPr>
            </w:pPr>
            <w:r w:rsidRPr="00395942">
              <w:rPr>
                <w:rFonts w:eastAsia="Calibri"/>
                <w:sz w:val="20"/>
                <w:lang w:eastAsia="en-US"/>
              </w:rPr>
              <w:t>0.98</w:t>
            </w:r>
          </w:p>
        </w:tc>
        <w:tc>
          <w:tcPr>
            <w:tcW w:w="483" w:type="pct"/>
          </w:tcPr>
          <w:p w:rsidR="003C0923" w:rsidRPr="00395942" w:rsidRDefault="003C0923" w:rsidP="00DC1AA2">
            <w:pPr>
              <w:contextualSpacing/>
              <w:rPr>
                <w:rFonts w:eastAsia="Calibri"/>
                <w:sz w:val="20"/>
                <w:lang w:eastAsia="en-US"/>
              </w:rPr>
            </w:pPr>
            <w:r w:rsidRPr="00395942">
              <w:rPr>
                <w:rFonts w:eastAsia="Calibri"/>
                <w:sz w:val="20"/>
                <w:lang w:eastAsia="en-US"/>
              </w:rPr>
              <w:t>0.64, 1.50</w:t>
            </w:r>
          </w:p>
        </w:tc>
        <w:tc>
          <w:tcPr>
            <w:tcW w:w="362" w:type="pct"/>
            <w:tcBorders>
              <w:right w:val="nil"/>
            </w:tcBorders>
          </w:tcPr>
          <w:p w:rsidR="003C0923" w:rsidRPr="00395942" w:rsidRDefault="003C0923" w:rsidP="00DC1AA2">
            <w:pPr>
              <w:contextualSpacing/>
              <w:rPr>
                <w:rFonts w:eastAsia="Calibri"/>
                <w:sz w:val="20"/>
                <w:lang w:eastAsia="en-US"/>
              </w:rPr>
            </w:pPr>
            <w:r w:rsidRPr="00395942">
              <w:rPr>
                <w:rFonts w:eastAsia="Calibri"/>
                <w:sz w:val="20"/>
                <w:lang w:eastAsia="en-US"/>
              </w:rPr>
              <w:t>0.913</w:t>
            </w:r>
          </w:p>
        </w:tc>
      </w:tr>
      <w:tr w:rsidR="003C0923" w:rsidRPr="00395942" w:rsidTr="00405871">
        <w:trPr>
          <w:trHeight w:val="20"/>
        </w:trPr>
        <w:tc>
          <w:tcPr>
            <w:tcW w:w="462" w:type="pct"/>
          </w:tcPr>
          <w:p w:rsidR="003C0923" w:rsidRPr="00395942" w:rsidRDefault="003C0923" w:rsidP="00DC1AA2">
            <w:pPr>
              <w:contextualSpacing/>
              <w:rPr>
                <w:b/>
                <w:sz w:val="20"/>
              </w:rPr>
            </w:pPr>
            <w:r w:rsidRPr="00395942">
              <w:rPr>
                <w:sz w:val="20"/>
              </w:rPr>
              <w:t>Never</w:t>
            </w:r>
          </w:p>
        </w:tc>
        <w:tc>
          <w:tcPr>
            <w:tcW w:w="274" w:type="pct"/>
          </w:tcPr>
          <w:p w:rsidR="003C0923" w:rsidRPr="00395942" w:rsidRDefault="003C0923" w:rsidP="00DC1AA2">
            <w:pPr>
              <w:contextualSpacing/>
              <w:rPr>
                <w:rFonts w:eastAsia="Calibri"/>
                <w:sz w:val="20"/>
                <w:lang w:eastAsia="en-US"/>
              </w:rPr>
            </w:pPr>
            <w:r w:rsidRPr="00395942">
              <w:rPr>
                <w:rFonts w:eastAsia="Calibri"/>
                <w:sz w:val="20"/>
                <w:lang w:eastAsia="en-US"/>
              </w:rPr>
              <w:t>0.91</w:t>
            </w:r>
          </w:p>
        </w:tc>
        <w:tc>
          <w:tcPr>
            <w:tcW w:w="491" w:type="pct"/>
          </w:tcPr>
          <w:p w:rsidR="003C0923" w:rsidRPr="00395942" w:rsidRDefault="003C0923" w:rsidP="00DC1AA2">
            <w:pPr>
              <w:contextualSpacing/>
              <w:rPr>
                <w:rFonts w:eastAsia="Calibri"/>
                <w:sz w:val="20"/>
                <w:lang w:eastAsia="en-US"/>
              </w:rPr>
            </w:pPr>
            <w:r w:rsidRPr="00395942">
              <w:rPr>
                <w:rFonts w:eastAsia="Calibri"/>
                <w:sz w:val="20"/>
                <w:lang w:eastAsia="en-US"/>
              </w:rPr>
              <w:t>0.64, 1.30</w:t>
            </w:r>
          </w:p>
        </w:tc>
        <w:tc>
          <w:tcPr>
            <w:tcW w:w="357" w:type="pct"/>
          </w:tcPr>
          <w:p w:rsidR="003C0923" w:rsidRPr="00395942" w:rsidRDefault="003C0923" w:rsidP="00DC1AA2">
            <w:pPr>
              <w:contextualSpacing/>
              <w:rPr>
                <w:rFonts w:eastAsia="Calibri"/>
                <w:sz w:val="20"/>
                <w:lang w:eastAsia="en-US"/>
              </w:rPr>
            </w:pPr>
            <w:r w:rsidRPr="00395942">
              <w:rPr>
                <w:rFonts w:eastAsia="Calibri"/>
                <w:sz w:val="20"/>
                <w:lang w:eastAsia="en-US"/>
              </w:rPr>
              <w:t>0.607</w:t>
            </w:r>
          </w:p>
        </w:tc>
        <w:tc>
          <w:tcPr>
            <w:tcW w:w="277" w:type="pct"/>
          </w:tcPr>
          <w:p w:rsidR="003C0923" w:rsidRPr="00395942" w:rsidRDefault="003C0923" w:rsidP="00DC1AA2">
            <w:pPr>
              <w:contextualSpacing/>
              <w:rPr>
                <w:rFonts w:eastAsia="Calibri"/>
                <w:sz w:val="20"/>
                <w:lang w:eastAsia="en-US"/>
              </w:rPr>
            </w:pPr>
            <w:r w:rsidRPr="00395942">
              <w:rPr>
                <w:rFonts w:eastAsia="Calibri"/>
                <w:sz w:val="20"/>
                <w:lang w:eastAsia="en-US"/>
              </w:rPr>
              <w:t>1.00</w:t>
            </w:r>
          </w:p>
        </w:tc>
        <w:tc>
          <w:tcPr>
            <w:tcW w:w="433" w:type="pct"/>
          </w:tcPr>
          <w:p w:rsidR="003C0923" w:rsidRPr="00395942" w:rsidRDefault="003C0923" w:rsidP="00DC1AA2">
            <w:pPr>
              <w:contextualSpacing/>
              <w:rPr>
                <w:rFonts w:eastAsia="Calibri"/>
                <w:sz w:val="20"/>
                <w:lang w:eastAsia="en-US"/>
              </w:rPr>
            </w:pPr>
            <w:r w:rsidRPr="00395942">
              <w:rPr>
                <w:rFonts w:eastAsia="Calibri"/>
                <w:sz w:val="20"/>
                <w:lang w:eastAsia="en-US"/>
              </w:rPr>
              <w:t>(-,-)</w:t>
            </w:r>
          </w:p>
        </w:tc>
        <w:tc>
          <w:tcPr>
            <w:tcW w:w="336" w:type="pct"/>
          </w:tcPr>
          <w:p w:rsidR="003C0923" w:rsidRPr="00395942" w:rsidRDefault="003C0923" w:rsidP="00DC1AA2">
            <w:pPr>
              <w:contextualSpacing/>
              <w:rPr>
                <w:rFonts w:eastAsia="Calibri"/>
                <w:sz w:val="20"/>
                <w:lang w:eastAsia="en-US"/>
              </w:rPr>
            </w:pPr>
            <w:r w:rsidRPr="00395942">
              <w:rPr>
                <w:rFonts w:eastAsia="Calibri"/>
                <w:sz w:val="20"/>
                <w:lang w:eastAsia="en-US"/>
              </w:rPr>
              <w:t>-</w:t>
            </w:r>
          </w:p>
        </w:tc>
        <w:tc>
          <w:tcPr>
            <w:tcW w:w="349" w:type="pct"/>
          </w:tcPr>
          <w:p w:rsidR="003C0923" w:rsidRPr="00395942" w:rsidRDefault="003C0923" w:rsidP="00DC1AA2">
            <w:pPr>
              <w:contextualSpacing/>
              <w:rPr>
                <w:rFonts w:eastAsia="Calibri"/>
                <w:sz w:val="20"/>
                <w:lang w:eastAsia="en-US"/>
              </w:rPr>
            </w:pPr>
            <w:r w:rsidRPr="00395942">
              <w:rPr>
                <w:rFonts w:eastAsia="Calibri"/>
                <w:sz w:val="20"/>
                <w:lang w:eastAsia="en-US"/>
              </w:rPr>
              <w:t>0.96</w:t>
            </w:r>
          </w:p>
        </w:tc>
        <w:tc>
          <w:tcPr>
            <w:tcW w:w="426" w:type="pct"/>
          </w:tcPr>
          <w:p w:rsidR="003C0923" w:rsidRPr="00395942" w:rsidRDefault="003C0923" w:rsidP="00DC1AA2">
            <w:pPr>
              <w:contextualSpacing/>
              <w:rPr>
                <w:rFonts w:eastAsia="Calibri"/>
                <w:sz w:val="20"/>
                <w:lang w:eastAsia="en-US"/>
              </w:rPr>
            </w:pPr>
            <w:r w:rsidRPr="00395942">
              <w:rPr>
                <w:rFonts w:eastAsia="Calibri"/>
                <w:sz w:val="20"/>
                <w:lang w:eastAsia="en-US"/>
              </w:rPr>
              <w:t>0.67, 1.37</w:t>
            </w:r>
          </w:p>
        </w:tc>
        <w:tc>
          <w:tcPr>
            <w:tcW w:w="508" w:type="pct"/>
          </w:tcPr>
          <w:p w:rsidR="003C0923" w:rsidRPr="00395942" w:rsidRDefault="003C0923" w:rsidP="00DC1AA2">
            <w:pPr>
              <w:contextualSpacing/>
              <w:rPr>
                <w:rFonts w:eastAsia="Calibri"/>
                <w:sz w:val="20"/>
                <w:lang w:eastAsia="en-US"/>
              </w:rPr>
            </w:pPr>
            <w:r w:rsidRPr="00395942">
              <w:rPr>
                <w:rFonts w:eastAsia="Calibri"/>
                <w:sz w:val="20"/>
                <w:lang w:eastAsia="en-US"/>
              </w:rPr>
              <w:t>0.809</w:t>
            </w:r>
          </w:p>
        </w:tc>
        <w:tc>
          <w:tcPr>
            <w:tcW w:w="242" w:type="pct"/>
            <w:tcBorders>
              <w:bottom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1.00</w:t>
            </w:r>
          </w:p>
        </w:tc>
        <w:tc>
          <w:tcPr>
            <w:tcW w:w="483" w:type="pct"/>
            <w:tcBorders>
              <w:bottom w:val="single" w:sz="4" w:space="0" w:color="auto"/>
            </w:tcBorders>
          </w:tcPr>
          <w:p w:rsidR="003C0923" w:rsidRPr="00395942" w:rsidRDefault="003C0923" w:rsidP="00DC1AA2">
            <w:pPr>
              <w:contextualSpacing/>
              <w:rPr>
                <w:rFonts w:eastAsia="Calibri"/>
                <w:sz w:val="20"/>
                <w:lang w:eastAsia="en-US"/>
              </w:rPr>
            </w:pPr>
            <w:r w:rsidRPr="00395942">
              <w:rPr>
                <w:rFonts w:eastAsia="Calibri"/>
                <w:sz w:val="20"/>
                <w:lang w:eastAsia="en-US"/>
              </w:rPr>
              <w:t>(-,-)</w:t>
            </w:r>
          </w:p>
        </w:tc>
        <w:tc>
          <w:tcPr>
            <w:tcW w:w="362" w:type="pct"/>
            <w:tcBorders>
              <w:bottom w:val="single" w:sz="4" w:space="0" w:color="auto"/>
              <w:right w:val="nil"/>
            </w:tcBorders>
          </w:tcPr>
          <w:p w:rsidR="003C0923" w:rsidRPr="00395942" w:rsidRDefault="003C0923" w:rsidP="00DC1AA2">
            <w:pPr>
              <w:contextualSpacing/>
              <w:rPr>
                <w:rFonts w:eastAsia="Calibri"/>
                <w:sz w:val="20"/>
                <w:lang w:eastAsia="en-US"/>
              </w:rPr>
            </w:pPr>
            <w:r w:rsidRPr="00395942">
              <w:rPr>
                <w:rFonts w:eastAsia="Calibri"/>
                <w:sz w:val="20"/>
                <w:lang w:eastAsia="en-US"/>
              </w:rPr>
              <w:t>-</w:t>
            </w:r>
          </w:p>
        </w:tc>
      </w:tr>
    </w:tbl>
    <w:p w:rsidR="003C0923" w:rsidRPr="00395942" w:rsidRDefault="003C0923" w:rsidP="003C0923">
      <w:pPr>
        <w:rPr>
          <w:sz w:val="20"/>
        </w:rPr>
      </w:pPr>
      <w:r w:rsidRPr="00395942">
        <w:rPr>
          <w:sz w:val="20"/>
        </w:rPr>
        <w:t xml:space="preserve">Abbreviations: BMI, body mass index; HR, hazard ratio; CI, confidence interval. </w:t>
      </w:r>
    </w:p>
    <w:p w:rsidR="00D72AA7" w:rsidRDefault="003C0923">
      <w:r w:rsidRPr="00395942">
        <w:rPr>
          <w:sz w:val="20"/>
          <w:vertAlign w:val="superscript"/>
        </w:rPr>
        <w:t>a</w:t>
      </w:r>
      <w:r w:rsidRPr="00395942">
        <w:rPr>
          <w:sz w:val="20"/>
        </w:rPr>
        <w:t xml:space="preserve"> Never smoking, plasma cotinine levels &lt;85 </w:t>
      </w:r>
      <w:proofErr w:type="spellStart"/>
      <w:r w:rsidRPr="00395942">
        <w:rPr>
          <w:sz w:val="20"/>
        </w:rPr>
        <w:t>nmol</w:t>
      </w:r>
      <w:proofErr w:type="spellEnd"/>
      <w:r w:rsidRPr="00395942">
        <w:rPr>
          <w:sz w:val="20"/>
        </w:rPr>
        <w:t>/L and no s</w:t>
      </w:r>
      <w:r>
        <w:rPr>
          <w:sz w:val="20"/>
        </w:rPr>
        <w:t>elf-reported previous smoking; f</w:t>
      </w:r>
      <w:r w:rsidRPr="00395942">
        <w:rPr>
          <w:sz w:val="20"/>
        </w:rPr>
        <w:t>ormer smoking, previous self-reported smoking and plas</w:t>
      </w:r>
      <w:r>
        <w:rPr>
          <w:sz w:val="20"/>
        </w:rPr>
        <w:t xml:space="preserve">ma cotinine levels </w:t>
      </w:r>
      <w:r w:rsidR="003B02D9">
        <w:rPr>
          <w:sz w:val="20"/>
        </w:rPr>
        <w:br/>
      </w:r>
      <w:r>
        <w:rPr>
          <w:sz w:val="20"/>
        </w:rPr>
        <w:t xml:space="preserve">&lt;85 </w:t>
      </w:r>
      <w:proofErr w:type="spellStart"/>
      <w:r>
        <w:rPr>
          <w:sz w:val="20"/>
        </w:rPr>
        <w:t>nmol</w:t>
      </w:r>
      <w:proofErr w:type="spellEnd"/>
      <w:r>
        <w:rPr>
          <w:sz w:val="20"/>
        </w:rPr>
        <w:t>/L; m</w:t>
      </w:r>
      <w:r w:rsidRPr="00395942">
        <w:rPr>
          <w:sz w:val="20"/>
        </w:rPr>
        <w:t>oderate smoking, plasma cotinine leve</w:t>
      </w:r>
      <w:r>
        <w:rPr>
          <w:sz w:val="20"/>
        </w:rPr>
        <w:t xml:space="preserve">ls between 85 and 1199 </w:t>
      </w:r>
      <w:proofErr w:type="spellStart"/>
      <w:r>
        <w:rPr>
          <w:sz w:val="20"/>
        </w:rPr>
        <w:t>nmol</w:t>
      </w:r>
      <w:proofErr w:type="spellEnd"/>
      <w:r>
        <w:rPr>
          <w:sz w:val="20"/>
        </w:rPr>
        <w:t>/L; h</w:t>
      </w:r>
      <w:r w:rsidRPr="00395942">
        <w:rPr>
          <w:sz w:val="20"/>
        </w:rPr>
        <w:t xml:space="preserve">eavy smoking, plasma cotinine levels ≥1200 </w:t>
      </w:r>
      <w:proofErr w:type="spellStart"/>
      <w:r w:rsidRPr="00395942">
        <w:rPr>
          <w:sz w:val="20"/>
        </w:rPr>
        <w:t>nmol</w:t>
      </w:r>
      <w:proofErr w:type="spellEnd"/>
      <w:r w:rsidRPr="00395942">
        <w:rPr>
          <w:sz w:val="20"/>
        </w:rPr>
        <w:t>/L.</w:t>
      </w:r>
    </w:p>
    <w:sectPr w:rsidR="00D72AA7" w:rsidSect="003C0923">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23"/>
    <w:rsid w:val="0011688D"/>
    <w:rsid w:val="003B02D9"/>
    <w:rsid w:val="003C0923"/>
    <w:rsid w:val="00405871"/>
    <w:rsid w:val="00455BF3"/>
    <w:rsid w:val="00B87D2F"/>
    <w:rsid w:val="00D72AA7"/>
    <w:rsid w:val="00DC1AA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23"/>
    <w:pPr>
      <w:spacing w:after="0" w:line="240" w:lineRule="auto"/>
    </w:pPr>
    <w:rPr>
      <w:rFonts w:ascii="Times New Roman" w:eastAsia="Times New Roman" w:hAnsi="Times New Roman" w:cs="Times New Roman"/>
      <w:sz w:val="24"/>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923"/>
    <w:pPr>
      <w:spacing w:after="0" w:line="240" w:lineRule="auto"/>
    </w:pPr>
    <w:rPr>
      <w:rFonts w:ascii="Times New Roman" w:eastAsia="Times New Roman" w:hAnsi="Times New Roman" w:cs="Times New Roman"/>
      <w:sz w:val="24"/>
      <w:szCs w:val="20"/>
      <w:lang w:val="en-US"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4A564A64.dotm</Template>
  <TotalTime>3</TotalTime>
  <Pages>1</Pages>
  <Words>205</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UiB</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Jannike Øyen</dc:creator>
  <cp:lastModifiedBy>Jannike Øyen</cp:lastModifiedBy>
  <cp:revision>3</cp:revision>
  <dcterms:created xsi:type="dcterms:W3CDTF">2014-03-03T16:36:00Z</dcterms:created>
  <dcterms:modified xsi:type="dcterms:W3CDTF">2014-03-03T16:45:00Z</dcterms:modified>
</cp:coreProperties>
</file>