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B" w:rsidRPr="009C2F0F" w:rsidRDefault="00B97E6B" w:rsidP="00B97E6B">
      <w:pPr>
        <w:rPr>
          <w:rFonts w:ascii="Arial" w:hAnsi="Arial" w:cs="Arial"/>
        </w:rPr>
      </w:pPr>
      <w:bookmarkStart w:id="0" w:name="_GoBack"/>
      <w:bookmarkEnd w:id="0"/>
    </w:p>
    <w:p w:rsidR="00B97E6B" w:rsidRPr="002B60BB" w:rsidRDefault="00B97E6B" w:rsidP="00B97E6B">
      <w:pPr>
        <w:rPr>
          <w:rFonts w:cs="Times New Roman"/>
          <w:b/>
        </w:rPr>
      </w:pPr>
      <w:r w:rsidRPr="002B60BB">
        <w:rPr>
          <w:rFonts w:cs="Times New Roman"/>
          <w:b/>
        </w:rPr>
        <w:t xml:space="preserve">Table S10. </w:t>
      </w:r>
      <w:proofErr w:type="gramStart"/>
      <w:r w:rsidRPr="002B60BB">
        <w:rPr>
          <w:rFonts w:cs="Times New Roman"/>
          <w:b/>
        </w:rPr>
        <w:t>Transcripts by category and putative function.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418"/>
        <w:gridCol w:w="2410"/>
      </w:tblGrid>
      <w:tr w:rsidR="00B97E6B" w:rsidRPr="001105BB" w:rsidTr="00AD0C6D">
        <w:tc>
          <w:tcPr>
            <w:tcW w:w="534" w:type="dxa"/>
            <w:shd w:val="clear" w:color="auto" w:fill="auto"/>
          </w:tcPr>
          <w:p w:rsidR="00B97E6B" w:rsidRPr="001105BB" w:rsidRDefault="00B97E6B" w:rsidP="00AD0C6D">
            <w:pPr>
              <w:jc w:val="right"/>
              <w:rPr>
                <w:rFonts w:cs="Times New Roman"/>
              </w:rPr>
            </w:pP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Category</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Transcript counts</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Putative function</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FULL_SENSE.protein_coding_high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73,357</w:t>
            </w:r>
          </w:p>
        </w:tc>
        <w:tc>
          <w:tcPr>
            <w:tcW w:w="2410" w:type="dxa"/>
            <w:shd w:val="clear" w:color="auto" w:fill="auto"/>
          </w:tcPr>
          <w:p w:rsidR="00B97E6B" w:rsidRPr="001105BB" w:rsidRDefault="00B97E6B" w:rsidP="00AD0C6D">
            <w:pPr>
              <w:rPr>
                <w:rFonts w:cs="Times New Roman"/>
                <w:b/>
                <w:sz w:val="20"/>
                <w:szCs w:val="20"/>
              </w:rPr>
            </w:pPr>
            <w:r w:rsidRPr="001105BB">
              <w:rPr>
                <w:rFonts w:cs="Times New Roman"/>
                <w:b/>
                <w:sz w:val="20"/>
                <w:szCs w:val="20"/>
              </w:rPr>
              <w:t>Protein coding</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2</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PARTIAL_SENSE.protein_coding_high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26,825</w:t>
            </w:r>
          </w:p>
        </w:tc>
        <w:tc>
          <w:tcPr>
            <w:tcW w:w="2410" w:type="dxa"/>
            <w:shd w:val="clear" w:color="auto" w:fill="auto"/>
          </w:tcPr>
          <w:p w:rsidR="00B97E6B" w:rsidRPr="001105BB" w:rsidRDefault="00B97E6B" w:rsidP="00AD0C6D">
            <w:pPr>
              <w:rPr>
                <w:rFonts w:cs="Times New Roman"/>
                <w:b/>
                <w:sz w:val="20"/>
                <w:szCs w:val="20"/>
              </w:rPr>
            </w:pPr>
            <w:r w:rsidRPr="001105BB">
              <w:rPr>
                <w:rFonts w:cs="Times New Roman"/>
                <w:b/>
                <w:sz w:val="20"/>
                <w:szCs w:val="20"/>
              </w:rPr>
              <w:t>Protein coding</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3</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FULL_ANTI.antisense_high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552</w:t>
            </w:r>
          </w:p>
        </w:tc>
        <w:tc>
          <w:tcPr>
            <w:tcW w:w="2410" w:type="dxa"/>
            <w:shd w:val="clear" w:color="auto" w:fill="auto"/>
          </w:tcPr>
          <w:p w:rsidR="00B97E6B" w:rsidRPr="001105BB" w:rsidRDefault="00B97E6B" w:rsidP="00AD0C6D">
            <w:pPr>
              <w:rPr>
                <w:rFonts w:cs="Times New Roman"/>
                <w:b/>
                <w:sz w:val="20"/>
                <w:szCs w:val="20"/>
              </w:rPr>
            </w:pPr>
            <w:r w:rsidRPr="001105BB">
              <w:rPr>
                <w:rFonts w:cs="Times New Roman"/>
                <w:b/>
                <w:sz w:val="20"/>
                <w:szCs w:val="20"/>
              </w:rPr>
              <w:t>Antisense</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4</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PARTIAL_ANTI.antisense_high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4,084</w:t>
            </w:r>
          </w:p>
        </w:tc>
        <w:tc>
          <w:tcPr>
            <w:tcW w:w="2410" w:type="dxa"/>
            <w:shd w:val="clear" w:color="auto" w:fill="auto"/>
          </w:tcPr>
          <w:p w:rsidR="00B97E6B" w:rsidRPr="001105BB" w:rsidRDefault="00B97E6B" w:rsidP="00AD0C6D">
            <w:pPr>
              <w:rPr>
                <w:rFonts w:cs="Times New Roman"/>
                <w:b/>
                <w:sz w:val="20"/>
                <w:szCs w:val="20"/>
              </w:rPr>
            </w:pPr>
            <w:r w:rsidRPr="001105BB">
              <w:rPr>
                <w:rFonts w:cs="Times New Roman"/>
                <w:b/>
                <w:sz w:val="20"/>
                <w:szCs w:val="20"/>
              </w:rPr>
              <w:t>Antisense</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5</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INTRONIC_ANTI.antisense_low</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659</w:t>
            </w:r>
          </w:p>
        </w:tc>
        <w:tc>
          <w:tcPr>
            <w:tcW w:w="2410" w:type="dxa"/>
            <w:shd w:val="clear" w:color="auto" w:fill="auto"/>
          </w:tcPr>
          <w:p w:rsidR="00B97E6B" w:rsidRPr="00DB1568" w:rsidRDefault="00B97E6B" w:rsidP="00AD0C6D">
            <w:pPr>
              <w:rPr>
                <w:rFonts w:cs="Times New Roman"/>
                <w:sz w:val="20"/>
                <w:szCs w:val="20"/>
              </w:rPr>
            </w:pPr>
            <w:r w:rsidRPr="00DB1568">
              <w:rPr>
                <w:rFonts w:cs="Times New Roman"/>
                <w:sz w:val="20"/>
                <w:szCs w:val="20"/>
              </w:rPr>
              <w:t>Antisense</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6</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SPLICED.intergenic_noncoding_spliced_high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7,224</w:t>
            </w:r>
          </w:p>
        </w:tc>
        <w:tc>
          <w:tcPr>
            <w:tcW w:w="2410" w:type="dxa"/>
            <w:shd w:val="clear" w:color="auto" w:fill="auto"/>
          </w:tcPr>
          <w:p w:rsidR="00B97E6B" w:rsidRPr="001105BB" w:rsidRDefault="00B97E6B" w:rsidP="00AD0C6D">
            <w:pPr>
              <w:rPr>
                <w:rFonts w:cs="Times New Roman"/>
                <w:sz w:val="20"/>
                <w:szCs w:val="20"/>
              </w:rPr>
            </w:pPr>
            <w:proofErr w:type="spellStart"/>
            <w:proofErr w:type="gramStart"/>
            <w:r w:rsidRPr="001105BB">
              <w:rPr>
                <w:rFonts w:cs="Times New Roman"/>
                <w:b/>
                <w:sz w:val="20"/>
                <w:szCs w:val="20"/>
              </w:rPr>
              <w:t>lincRNA</w:t>
            </w:r>
            <w:proofErr w:type="spellEnd"/>
            <w:proofErr w:type="gramEnd"/>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7</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SINGLE.intergenic_noncoding_single_high</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36,483</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b/>
                <w:sz w:val="20"/>
                <w:szCs w:val="20"/>
              </w:rPr>
              <w:t>Non-coding</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8</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PARTIAL_ANTI.intergenic_noncoding_low</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2,314</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9</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SPLICED.intergenic_noncoding_low</w:t>
            </w:r>
            <w:proofErr w:type="spellEnd"/>
          </w:p>
        </w:tc>
        <w:tc>
          <w:tcPr>
            <w:tcW w:w="1418" w:type="dxa"/>
            <w:shd w:val="clear" w:color="auto" w:fill="auto"/>
          </w:tcPr>
          <w:p w:rsidR="00B97E6B" w:rsidRPr="001105BB" w:rsidRDefault="00B97E6B" w:rsidP="00AD0C6D">
            <w:pPr>
              <w:jc w:val="right"/>
              <w:rPr>
                <w:rFonts w:cs="Times New Roman"/>
                <w:sz w:val="20"/>
                <w:szCs w:val="20"/>
              </w:rPr>
            </w:pPr>
            <w:r>
              <w:rPr>
                <w:rFonts w:cs="Times New Roman"/>
                <w:sz w:val="20"/>
                <w:szCs w:val="20"/>
              </w:rPr>
              <w:t>1,124</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10</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SINGLE.intergenic_noncoding_low</w:t>
            </w:r>
            <w:proofErr w:type="spellEnd"/>
          </w:p>
        </w:tc>
        <w:tc>
          <w:tcPr>
            <w:tcW w:w="1418" w:type="dxa"/>
            <w:shd w:val="clear" w:color="auto" w:fill="auto"/>
          </w:tcPr>
          <w:p w:rsidR="00B97E6B" w:rsidRPr="001105BB" w:rsidRDefault="00B97E6B" w:rsidP="00AD0C6D">
            <w:pPr>
              <w:jc w:val="right"/>
              <w:rPr>
                <w:rFonts w:cs="Times New Roman"/>
                <w:sz w:val="20"/>
                <w:szCs w:val="20"/>
              </w:rPr>
            </w:pPr>
            <w:r>
              <w:rPr>
                <w:rFonts w:cs="Times New Roman"/>
                <w:sz w:val="20"/>
                <w:szCs w:val="20"/>
              </w:rPr>
              <w:t>2,792</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11</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INTRONIC_SENSE.na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30,984</w:t>
            </w:r>
          </w:p>
        </w:tc>
        <w:tc>
          <w:tcPr>
            <w:tcW w:w="2410" w:type="dxa"/>
            <w:shd w:val="clear" w:color="auto" w:fill="auto"/>
          </w:tcPr>
          <w:p w:rsidR="00B97E6B" w:rsidRPr="00DB1568" w:rsidRDefault="00B97E6B" w:rsidP="00AD0C6D">
            <w:pPr>
              <w:rPr>
                <w:rFonts w:cs="Times New Roman"/>
                <w:b/>
                <w:sz w:val="20"/>
                <w:szCs w:val="20"/>
              </w:rPr>
            </w:pPr>
            <w:r w:rsidRPr="00DB1568">
              <w:rPr>
                <w:rFonts w:cs="Times New Roman"/>
                <w:b/>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12</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FULL_ANTI.intergenic_noncoding_low</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191</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13</w:t>
            </w:r>
          </w:p>
        </w:tc>
        <w:tc>
          <w:tcPr>
            <w:tcW w:w="4110" w:type="dxa"/>
            <w:shd w:val="clear" w:color="auto" w:fill="auto"/>
          </w:tcPr>
          <w:p w:rsidR="00B97E6B" w:rsidRPr="001105BB" w:rsidRDefault="00B97E6B" w:rsidP="00AD0C6D">
            <w:pPr>
              <w:rPr>
                <w:rFonts w:cs="Times New Roman"/>
                <w:sz w:val="20"/>
                <w:szCs w:val="20"/>
              </w:rPr>
            </w:pPr>
            <w:proofErr w:type="spellStart"/>
            <w:r w:rsidRPr="001105BB">
              <w:rPr>
                <w:rFonts w:cs="Times New Roman"/>
                <w:sz w:val="20"/>
                <w:szCs w:val="20"/>
              </w:rPr>
              <w:t>INTRONIC_ANTI.intergenic_noncoding_low</w:t>
            </w:r>
            <w:proofErr w:type="spellEnd"/>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1,841</w:t>
            </w:r>
          </w:p>
        </w:tc>
        <w:tc>
          <w:tcPr>
            <w:tcW w:w="24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14</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INTRONIC_ANTI.na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1,209</w:t>
            </w:r>
          </w:p>
        </w:tc>
        <w:tc>
          <w:tcPr>
            <w:tcW w:w="2410" w:type="dxa"/>
            <w:shd w:val="clear" w:color="auto" w:fill="auto"/>
          </w:tcPr>
          <w:p w:rsidR="00B97E6B" w:rsidRPr="008E74F8" w:rsidRDefault="00B97E6B" w:rsidP="00AD0C6D">
            <w:pPr>
              <w:rPr>
                <w:rFonts w:cs="Times New Roman"/>
                <w:sz w:val="20"/>
                <w:szCs w:val="20"/>
              </w:rPr>
            </w:pPr>
            <w:r w:rsidRPr="008E74F8">
              <w:rPr>
                <w:rFonts w:cs="Times New Roman"/>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15</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FULL_ANTI.na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823</w:t>
            </w:r>
          </w:p>
        </w:tc>
        <w:tc>
          <w:tcPr>
            <w:tcW w:w="2410" w:type="dxa"/>
            <w:shd w:val="clear" w:color="auto" w:fill="auto"/>
          </w:tcPr>
          <w:p w:rsidR="00B97E6B" w:rsidRPr="00DB1568" w:rsidRDefault="00B97E6B" w:rsidP="00AD0C6D">
            <w:pPr>
              <w:rPr>
                <w:rFonts w:cs="Times New Roman"/>
                <w:b/>
                <w:sz w:val="20"/>
                <w:szCs w:val="20"/>
              </w:rPr>
            </w:pPr>
            <w:r w:rsidRPr="00DB1568">
              <w:rPr>
                <w:rFonts w:cs="Times New Roman"/>
                <w:b/>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16</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PARTIAL_ANTI.na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446</w:t>
            </w:r>
          </w:p>
        </w:tc>
        <w:tc>
          <w:tcPr>
            <w:tcW w:w="2410" w:type="dxa"/>
            <w:shd w:val="clear" w:color="auto" w:fill="auto"/>
          </w:tcPr>
          <w:p w:rsidR="00B97E6B" w:rsidRPr="00DB1568" w:rsidRDefault="00B97E6B" w:rsidP="00AD0C6D">
            <w:pPr>
              <w:rPr>
                <w:rFonts w:cs="Times New Roman"/>
                <w:b/>
                <w:sz w:val="20"/>
                <w:szCs w:val="20"/>
              </w:rPr>
            </w:pPr>
            <w:r w:rsidRPr="00DB1568">
              <w:rPr>
                <w:rFonts w:cs="Times New Roman"/>
                <w:b/>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17</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SPLICED.NA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713</w:t>
            </w:r>
          </w:p>
        </w:tc>
        <w:tc>
          <w:tcPr>
            <w:tcW w:w="2410" w:type="dxa"/>
            <w:shd w:val="clear" w:color="auto" w:fill="auto"/>
          </w:tcPr>
          <w:p w:rsidR="00B97E6B" w:rsidRPr="00DB1568" w:rsidRDefault="00B97E6B" w:rsidP="00AD0C6D">
            <w:pPr>
              <w:rPr>
                <w:rFonts w:cs="Times New Roman"/>
                <w:b/>
                <w:sz w:val="20"/>
                <w:szCs w:val="20"/>
              </w:rPr>
            </w:pPr>
            <w:r w:rsidRPr="00DB1568">
              <w:rPr>
                <w:rFonts w:cs="Times New Roman"/>
                <w:b/>
                <w:sz w:val="20"/>
                <w:szCs w:val="20"/>
              </w:rPr>
              <w:t>N/A</w:t>
            </w:r>
          </w:p>
        </w:tc>
      </w:tr>
      <w:tr w:rsidR="00B97E6B" w:rsidRPr="001105BB" w:rsidTr="00AD0C6D">
        <w:tc>
          <w:tcPr>
            <w:tcW w:w="534" w:type="dxa"/>
            <w:shd w:val="clear" w:color="auto" w:fill="auto"/>
          </w:tcPr>
          <w:p w:rsidR="00B97E6B" w:rsidRPr="001105BB" w:rsidRDefault="00B97E6B" w:rsidP="00AD0C6D">
            <w:pPr>
              <w:jc w:val="right"/>
              <w:rPr>
                <w:rFonts w:cs="Times New Roman"/>
              </w:rPr>
            </w:pPr>
            <w:r w:rsidRPr="001105BB">
              <w:rPr>
                <w:rFonts w:cs="Times New Roman"/>
              </w:rPr>
              <w:t>18</w:t>
            </w:r>
          </w:p>
        </w:tc>
        <w:tc>
          <w:tcPr>
            <w:tcW w:w="4110" w:type="dxa"/>
            <w:shd w:val="clear" w:color="auto" w:fill="auto"/>
          </w:tcPr>
          <w:p w:rsidR="00B97E6B" w:rsidRPr="001105BB" w:rsidRDefault="00B97E6B" w:rsidP="00AD0C6D">
            <w:pPr>
              <w:rPr>
                <w:rFonts w:cs="Times New Roman"/>
                <w:sz w:val="20"/>
                <w:szCs w:val="20"/>
              </w:rPr>
            </w:pPr>
            <w:r w:rsidRPr="001105BB">
              <w:rPr>
                <w:rFonts w:cs="Times New Roman"/>
                <w:sz w:val="20"/>
                <w:szCs w:val="20"/>
              </w:rPr>
              <w:t>SINGLE.NA</w:t>
            </w:r>
          </w:p>
        </w:tc>
        <w:tc>
          <w:tcPr>
            <w:tcW w:w="1418" w:type="dxa"/>
            <w:shd w:val="clear" w:color="auto" w:fill="auto"/>
          </w:tcPr>
          <w:p w:rsidR="00B97E6B" w:rsidRPr="001105BB" w:rsidRDefault="00B97E6B" w:rsidP="00AD0C6D">
            <w:pPr>
              <w:jc w:val="right"/>
              <w:rPr>
                <w:rFonts w:cs="Times New Roman"/>
                <w:sz w:val="20"/>
                <w:szCs w:val="20"/>
              </w:rPr>
            </w:pPr>
            <w:r w:rsidRPr="001105BB">
              <w:rPr>
                <w:rFonts w:cs="Times New Roman"/>
                <w:sz w:val="20"/>
                <w:szCs w:val="20"/>
              </w:rPr>
              <w:t>3,119</w:t>
            </w:r>
          </w:p>
        </w:tc>
        <w:tc>
          <w:tcPr>
            <w:tcW w:w="2410" w:type="dxa"/>
            <w:shd w:val="clear" w:color="auto" w:fill="auto"/>
          </w:tcPr>
          <w:p w:rsidR="00B97E6B" w:rsidRPr="00DB1568" w:rsidRDefault="00B97E6B" w:rsidP="00AD0C6D">
            <w:pPr>
              <w:rPr>
                <w:rFonts w:cs="Times New Roman"/>
                <w:b/>
                <w:sz w:val="20"/>
                <w:szCs w:val="20"/>
              </w:rPr>
            </w:pPr>
            <w:r w:rsidRPr="00DB1568">
              <w:rPr>
                <w:rFonts w:cs="Times New Roman"/>
                <w:b/>
                <w:sz w:val="20"/>
                <w:szCs w:val="20"/>
              </w:rPr>
              <w:t>N/A</w:t>
            </w:r>
          </w:p>
        </w:tc>
      </w:tr>
    </w:tbl>
    <w:p w:rsidR="00B97E6B" w:rsidRDefault="00B97E6B" w:rsidP="00B97E6B">
      <w:pPr>
        <w:rPr>
          <w:rFonts w:cs="Times New Roman"/>
        </w:rPr>
      </w:pPr>
    </w:p>
    <w:p w:rsidR="00B97E6B" w:rsidRPr="00B14A09" w:rsidRDefault="00B97E6B" w:rsidP="00B97E6B">
      <w:pPr>
        <w:rPr>
          <w:rFonts w:cs="Times New Roman"/>
        </w:rPr>
      </w:pPr>
      <w:r>
        <w:rPr>
          <w:rFonts w:cs="Times New Roman"/>
        </w:rPr>
        <w:t xml:space="preserve">We divided transcripts into 18 different categories, as listed above. We classified categories 1 and 2 as protein coding based on sequence overlaps between the transcript and protein coding genes annotated by </w:t>
      </w:r>
      <w:proofErr w:type="spellStart"/>
      <w:r>
        <w:rPr>
          <w:rFonts w:cs="Times New Roman"/>
        </w:rPr>
        <w:t>Ensembl</w:t>
      </w:r>
      <w:proofErr w:type="spellEnd"/>
      <w:r>
        <w:rPr>
          <w:rFonts w:cs="Times New Roman"/>
        </w:rPr>
        <w:t xml:space="preserve"> in the dog genome, and/or overlaps with human </w:t>
      </w:r>
      <w:proofErr w:type="spellStart"/>
      <w:r>
        <w:rPr>
          <w:rFonts w:cs="Times New Roman"/>
        </w:rPr>
        <w:t>orthologs</w:t>
      </w:r>
      <w:proofErr w:type="spellEnd"/>
      <w:r>
        <w:rPr>
          <w:rFonts w:cs="Times New Roman"/>
        </w:rPr>
        <w:t xml:space="preserve"> mapped onto the dog genome (total = 100,182). Full overlaps (1) require that all exons of the RNA-</w:t>
      </w:r>
      <w:proofErr w:type="spellStart"/>
      <w:r>
        <w:rPr>
          <w:rFonts w:cs="Times New Roman"/>
        </w:rPr>
        <w:t>Seq</w:t>
      </w:r>
      <w:proofErr w:type="spellEnd"/>
      <w:r>
        <w:rPr>
          <w:rFonts w:cs="Times New Roman"/>
        </w:rPr>
        <w:t xml:space="preserve"> transcripts overlap annotated exons, and vice versa, and on the same strand of transcription. Partial overlaps (2) require at least one overlapping exon on the same strand. For antisense transcripts (total = 4,636) we require overlaps on the opposite strand, and distinguish between full overlaps (3), partial overlaps (4). We also list overlaps in introns (5) with an annotated protein coding dog gene, after running </w:t>
      </w:r>
      <w:proofErr w:type="spellStart"/>
      <w:r w:rsidRPr="008E74F8">
        <w:rPr>
          <w:rFonts w:cs="Times New Roman"/>
          <w:i/>
        </w:rPr>
        <w:t>Cuffmerge</w:t>
      </w:r>
      <w:proofErr w:type="spellEnd"/>
      <w:r>
        <w:rPr>
          <w:rFonts w:cs="Times New Roman"/>
        </w:rPr>
        <w:t xml:space="preserve">. Long </w:t>
      </w:r>
      <w:proofErr w:type="spellStart"/>
      <w:r>
        <w:rPr>
          <w:rFonts w:cs="Times New Roman"/>
        </w:rPr>
        <w:t>intergenic</w:t>
      </w:r>
      <w:proofErr w:type="spellEnd"/>
      <w:r>
        <w:rPr>
          <w:rFonts w:cs="Times New Roman"/>
        </w:rPr>
        <w:t xml:space="preserve"> non-coding RNAs (</w:t>
      </w:r>
      <w:proofErr w:type="spellStart"/>
      <w:r>
        <w:rPr>
          <w:rFonts w:cs="Times New Roman"/>
        </w:rPr>
        <w:t>lincRNA</w:t>
      </w:r>
      <w:proofErr w:type="spellEnd"/>
      <w:r>
        <w:rPr>
          <w:rFonts w:cs="Times New Roman"/>
        </w:rPr>
        <w:t xml:space="preserve">, 6) are required to fall outside of annotated protein coding genes, both dog and human </w:t>
      </w:r>
      <w:proofErr w:type="spellStart"/>
      <w:r>
        <w:rPr>
          <w:rFonts w:cs="Times New Roman"/>
        </w:rPr>
        <w:t>orthologs</w:t>
      </w:r>
      <w:proofErr w:type="spellEnd"/>
      <w:r>
        <w:rPr>
          <w:rFonts w:cs="Times New Roman"/>
        </w:rPr>
        <w:t xml:space="preserve">, but may overlap loci annotated as </w:t>
      </w:r>
      <w:proofErr w:type="spellStart"/>
      <w:r>
        <w:rPr>
          <w:rFonts w:cs="Times New Roman"/>
        </w:rPr>
        <w:t>lincRNA</w:t>
      </w:r>
      <w:proofErr w:type="spellEnd"/>
      <w:r>
        <w:rPr>
          <w:rFonts w:cs="Times New Roman"/>
        </w:rPr>
        <w:t xml:space="preserve">, and have to contain intron-exon structures. Single </w:t>
      </w:r>
      <w:proofErr w:type="spellStart"/>
      <w:r>
        <w:rPr>
          <w:rFonts w:cs="Times New Roman"/>
        </w:rPr>
        <w:t>intergenic</w:t>
      </w:r>
      <w:proofErr w:type="spellEnd"/>
      <w:r>
        <w:rPr>
          <w:rFonts w:cs="Times New Roman"/>
        </w:rPr>
        <w:t xml:space="preserve"> RNAs (7) contain single exons only, and fall outside of any annotated locus. Category 8 lists transcripts that overlap human </w:t>
      </w:r>
      <w:proofErr w:type="spellStart"/>
      <w:r>
        <w:rPr>
          <w:rFonts w:cs="Times New Roman"/>
        </w:rPr>
        <w:t>orthologs</w:t>
      </w:r>
      <w:proofErr w:type="spellEnd"/>
      <w:r>
        <w:rPr>
          <w:rFonts w:cs="Times New Roman"/>
        </w:rPr>
        <w:t xml:space="preserve"> in antisense direction, but do not overlap loci annotated in dog, while category 9 and 10 list </w:t>
      </w:r>
      <w:proofErr w:type="spellStart"/>
      <w:r>
        <w:rPr>
          <w:rFonts w:cs="Times New Roman"/>
        </w:rPr>
        <w:t>intergenic</w:t>
      </w:r>
      <w:proofErr w:type="spellEnd"/>
      <w:r>
        <w:rPr>
          <w:rFonts w:cs="Times New Roman"/>
        </w:rPr>
        <w:t xml:space="preserve"> transcripts that fall outside of annotated loci, but have the potential to be protein coding based on similarity to known proteins or protein domains, either with multiple exons (9) or single exons (10). The </w:t>
      </w:r>
      <w:proofErr w:type="spellStart"/>
      <w:r>
        <w:rPr>
          <w:rFonts w:cs="Times New Roman"/>
        </w:rPr>
        <w:t>intronic</w:t>
      </w:r>
      <w:proofErr w:type="spellEnd"/>
      <w:r>
        <w:rPr>
          <w:rFonts w:cs="Times New Roman"/>
        </w:rPr>
        <w:t xml:space="preserve"> sense </w:t>
      </w:r>
      <w:proofErr w:type="gramStart"/>
      <w:r>
        <w:rPr>
          <w:rFonts w:cs="Times New Roman"/>
        </w:rPr>
        <w:t>transcript listed here (11) are</w:t>
      </w:r>
      <w:proofErr w:type="gramEnd"/>
      <w:r>
        <w:rPr>
          <w:rFonts w:cs="Times New Roman"/>
        </w:rPr>
        <w:t xml:space="preserve"> sequences kept after running </w:t>
      </w:r>
      <w:proofErr w:type="spellStart"/>
      <w:r w:rsidRPr="00B97DE4">
        <w:rPr>
          <w:rFonts w:cs="Times New Roman"/>
          <w:i/>
        </w:rPr>
        <w:t>Cuffmerge</w:t>
      </w:r>
      <w:proofErr w:type="spellEnd"/>
      <w:r>
        <w:rPr>
          <w:rFonts w:cs="Times New Roman"/>
        </w:rPr>
        <w:t xml:space="preserve">, and reside in introns of protein coding genes in sense direction. Categories 12 through 18 list the remaining cases, antisense transcripts to non-coding annotated genes (12), </w:t>
      </w:r>
      <w:proofErr w:type="spellStart"/>
      <w:r>
        <w:rPr>
          <w:rFonts w:cs="Times New Roman"/>
        </w:rPr>
        <w:t>intronic</w:t>
      </w:r>
      <w:proofErr w:type="spellEnd"/>
      <w:r>
        <w:rPr>
          <w:rFonts w:cs="Times New Roman"/>
        </w:rPr>
        <w:t xml:space="preserve"> antisense transcripts to annotated non-coding genes (13), while the remaining cases 14 through 18 could not be unambiguously characterized. The single-exon </w:t>
      </w:r>
      <w:proofErr w:type="spellStart"/>
      <w:r>
        <w:rPr>
          <w:rFonts w:cs="Times New Roman"/>
        </w:rPr>
        <w:t>intergenic</w:t>
      </w:r>
      <w:proofErr w:type="spellEnd"/>
      <w:r>
        <w:rPr>
          <w:rFonts w:cs="Times New Roman"/>
        </w:rPr>
        <w:t xml:space="preserve"> transcripts analysed in the main text include categories 7, 15, 16, 17 and 18.</w:t>
      </w:r>
    </w:p>
    <w:p w:rsidR="00C928D9" w:rsidRDefault="00C928D9" w:rsidP="00B97E6B"/>
    <w:sectPr w:rsidR="00C928D9" w:rsidSect="007A52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6B"/>
    <w:rsid w:val="007A5220"/>
    <w:rsid w:val="00B97E6B"/>
    <w:rsid w:val="00C9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62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6B"/>
    <w:pPr>
      <w:widowControl w:val="0"/>
      <w:suppressAutoHyphens/>
    </w:pPr>
    <w:rPr>
      <w:rFonts w:ascii="Times New Roman" w:eastAsia="WenQuanYi Micro Hei" w:hAnsi="Times New Roman" w:cs="Lohit Hindi"/>
      <w:kern w:val="1"/>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6B"/>
    <w:pPr>
      <w:widowControl w:val="0"/>
      <w:suppressAutoHyphens/>
    </w:pPr>
    <w:rPr>
      <w:rFonts w:ascii="Times New Roman" w:eastAsia="WenQuanYi Micro Hei" w:hAnsi="Times New Roman" w:cs="Lohit Hindi"/>
      <w:kern w:val="1"/>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Macintosh Word</Application>
  <DocSecurity>0</DocSecurity>
  <Lines>20</Lines>
  <Paragraphs>5</Paragraphs>
  <ScaleCrop>false</ScaleCrop>
  <Company>IMBIM</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Grabherr</dc:creator>
  <cp:keywords/>
  <dc:description/>
  <cp:lastModifiedBy>Manfred Grabherr</cp:lastModifiedBy>
  <cp:revision>1</cp:revision>
  <dcterms:created xsi:type="dcterms:W3CDTF">2014-02-20T18:36:00Z</dcterms:created>
  <dcterms:modified xsi:type="dcterms:W3CDTF">2014-02-20T18:36:00Z</dcterms:modified>
</cp:coreProperties>
</file>