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74E53" w14:textId="77777777" w:rsidR="0049718C" w:rsidRPr="00DE4F7B" w:rsidRDefault="00716C41" w:rsidP="0049718C">
      <w:pPr>
        <w:spacing w:line="480" w:lineRule="auto"/>
        <w:rPr>
          <w:b/>
          <w:bCs/>
        </w:rPr>
      </w:pPr>
      <w:r>
        <w:rPr>
          <w:b/>
          <w:bCs/>
        </w:rPr>
        <w:t xml:space="preserve">S3. </w:t>
      </w:r>
      <w:r w:rsidR="0049718C">
        <w:rPr>
          <w:b/>
          <w:bCs/>
        </w:rPr>
        <w:t>Supporting</w:t>
      </w:r>
      <w:r w:rsidR="0049718C" w:rsidRPr="00DE4F7B">
        <w:rPr>
          <w:b/>
          <w:bCs/>
        </w:rPr>
        <w:t xml:space="preserve"> Materials and Methods</w:t>
      </w:r>
    </w:p>
    <w:p w14:paraId="35848432" w14:textId="77777777" w:rsidR="0049718C" w:rsidRDefault="0049718C" w:rsidP="0049718C">
      <w:pPr>
        <w:spacing w:line="480" w:lineRule="auto"/>
      </w:pPr>
    </w:p>
    <w:p w14:paraId="37D034ED" w14:textId="77777777" w:rsidR="0049718C" w:rsidRDefault="0049718C" w:rsidP="0049718C">
      <w:pPr>
        <w:spacing w:line="480" w:lineRule="auto"/>
      </w:pPr>
      <w:r w:rsidRPr="00DE4F7B">
        <w:t>Cells</w:t>
      </w:r>
    </w:p>
    <w:p w14:paraId="498B3BDE" w14:textId="3AC924E4" w:rsidR="0049718C" w:rsidRDefault="0049718C" w:rsidP="0049718C">
      <w:pPr>
        <w:spacing w:line="480" w:lineRule="auto"/>
      </w:pPr>
      <w:r>
        <w:t>LKR-10 is</w:t>
      </w:r>
      <w:r w:rsidRPr="00F8161A">
        <w:t xml:space="preserve"> a lung adenocarcinoma cell line derived from K-ras</w:t>
      </w:r>
      <w:r w:rsidRPr="00F8161A">
        <w:rPr>
          <w:vertAlign w:val="superscript"/>
        </w:rPr>
        <w:t>LA1</w:t>
      </w:r>
      <w:r w:rsidR="00724E41">
        <w:t xml:space="preserve"> mouse</w:t>
      </w:r>
      <w:r w:rsidR="00094056">
        <w:t xml:space="preserve"> </w:t>
      </w:r>
      <w:r w:rsidR="00094056" w:rsidRPr="00094056">
        <w:t xml:space="preserve">cells [33,34] </w:t>
      </w:r>
      <w:r>
        <w:t>(kindly provided by Guido Bommer). Human epithelial HeLa cells were from A</w:t>
      </w:r>
      <w:bookmarkStart w:id="0" w:name="_GoBack"/>
      <w:bookmarkEnd w:id="0"/>
      <w:r>
        <w:t>TCC (ref CCL-2).</w:t>
      </w:r>
    </w:p>
    <w:p w14:paraId="7D849055" w14:textId="77777777" w:rsidR="0049718C" w:rsidRDefault="0049718C" w:rsidP="0049718C">
      <w:pPr>
        <w:spacing w:line="480" w:lineRule="auto"/>
      </w:pPr>
      <w:r w:rsidRPr="00DE4F7B">
        <w:t>Cells were grown in Dulbecco Modified Eagle</w:t>
      </w:r>
      <w:r>
        <w:t xml:space="preserve"> medium (DMEM, Lonza</w:t>
      </w:r>
      <w:r w:rsidRPr="00DE4F7B">
        <w:t>) containing ultraglutamine and 4.5 gr/L of glucose, and supplemented with 10% of fetal calf serum (Sigma) and 50 units/ml of penicillin/streptomycin (Lonza).</w:t>
      </w:r>
      <w:r>
        <w:t xml:space="preserve"> Cells were seeded in 24-well plates and were treated with IFN the following day. </w:t>
      </w:r>
    </w:p>
    <w:p w14:paraId="61A2012A" w14:textId="77777777" w:rsidR="0049718C" w:rsidRDefault="0049718C" w:rsidP="0049718C">
      <w:pPr>
        <w:spacing w:line="480" w:lineRule="auto"/>
      </w:pPr>
    </w:p>
    <w:p w14:paraId="1F13A4DE" w14:textId="77777777" w:rsidR="0049718C" w:rsidRDefault="0049718C" w:rsidP="0049718C">
      <w:pPr>
        <w:spacing w:line="480" w:lineRule="auto"/>
      </w:pPr>
      <w:r>
        <w:t>Interferons</w:t>
      </w:r>
    </w:p>
    <w:p w14:paraId="4FA88EBF" w14:textId="77777777" w:rsidR="0049718C" w:rsidRPr="00DE4F7B" w:rsidRDefault="0049718C" w:rsidP="0049718C">
      <w:pPr>
        <w:spacing w:line="480" w:lineRule="auto"/>
      </w:pPr>
      <w:r>
        <w:t>MuIFN-</w:t>
      </w:r>
      <w:r>
        <w:sym w:font="Symbol" w:char="F061"/>
      </w:r>
      <w:r>
        <w:t>A was produced by transient transfection of 293T cells with pcDNA3-IFN</w:t>
      </w:r>
      <w:r>
        <w:sym w:font="Symbol" w:char="F061"/>
      </w:r>
      <w:r>
        <w:t xml:space="preserve">A. Biological activity of the cytokine was determined by </w:t>
      </w:r>
      <w:r w:rsidRPr="00890220">
        <w:t>cytopathic effect reduction assay</w:t>
      </w:r>
      <w:r>
        <w:t>. Cells were treated with 100 U/well muIFN-</w:t>
      </w:r>
      <w:r>
        <w:sym w:font="Symbol" w:char="F061"/>
      </w:r>
      <w:r>
        <w:t>A or huIFN</w:t>
      </w:r>
      <w:r>
        <w:sym w:font="Symbol" w:char="F061"/>
      </w:r>
      <w:r>
        <w:t xml:space="preserve"> (RoferonA, Roche), or with 50 ng/well recombinant muIFN-</w:t>
      </w:r>
      <w:r>
        <w:sym w:font="Symbol" w:char="F06C"/>
      </w:r>
      <w:r>
        <w:t xml:space="preserve"> (kindly provided by R. Hartmann, Aarhus university, Denmark) or recombinant huIFN-</w:t>
      </w:r>
      <w:r>
        <w:sym w:font="Symbol" w:char="F06C"/>
      </w:r>
      <w:r>
        <w:t xml:space="preserve"> (kindly provided by J.C. Renauld and L. Dumoutier, Univ. of Louvain, Belgium) in a total volume of 500 </w:t>
      </w:r>
      <w:r>
        <w:sym w:font="Symbol" w:char="F06D"/>
      </w:r>
      <w:r>
        <w:t>l for 24 hours before RNA extraction. This experiment was performed in quadruplicate.</w:t>
      </w:r>
    </w:p>
    <w:p w14:paraId="107914C6" w14:textId="77777777" w:rsidR="0049718C" w:rsidRPr="00DE4F7B" w:rsidRDefault="0049718C" w:rsidP="0049718C">
      <w:pPr>
        <w:spacing w:line="480" w:lineRule="auto"/>
      </w:pPr>
    </w:p>
    <w:p w14:paraId="101EAC2D" w14:textId="77777777" w:rsidR="0049718C" w:rsidRPr="00DE4F7B" w:rsidRDefault="0049718C" w:rsidP="0049718C">
      <w:pPr>
        <w:spacing w:line="480" w:lineRule="auto"/>
      </w:pPr>
      <w:r>
        <w:t>Quantitative RT-PCR</w:t>
      </w:r>
    </w:p>
    <w:p w14:paraId="03BFEF53" w14:textId="77777777" w:rsidR="0049718C" w:rsidRDefault="0049718C" w:rsidP="0049718C">
      <w:pPr>
        <w:spacing w:line="480" w:lineRule="auto"/>
      </w:pPr>
      <w:r w:rsidRPr="00890220">
        <w:t xml:space="preserve">RNA was isolated from </w:t>
      </w:r>
      <w:r>
        <w:t>cells</w:t>
      </w:r>
      <w:r w:rsidRPr="00890220">
        <w:t>, reverse-transcribed and subjected to quantitative RT-PCR (RT-qPCR), using SybrGreen and the MyIQ</w:t>
      </w:r>
      <w:r w:rsidRPr="00890220">
        <w:rPr>
          <w:vertAlign w:val="superscript"/>
        </w:rPr>
        <w:t>TM</w:t>
      </w:r>
      <w:r w:rsidRPr="00890220">
        <w:t xml:space="preserve">  apparatus (Biorad). Primer sequences</w:t>
      </w:r>
      <w:r>
        <w:t xml:space="preserve"> for OASl2</w:t>
      </w:r>
      <w:r w:rsidRPr="00890220">
        <w:t xml:space="preserve"> </w:t>
      </w:r>
      <w:r>
        <w:t>and MxA are described in main text.</w:t>
      </w:r>
    </w:p>
    <w:p w14:paraId="04F0FEA4" w14:textId="77777777" w:rsidR="00094056" w:rsidRDefault="00094056"/>
    <w:p w14:paraId="512B8960" w14:textId="77777777" w:rsidR="00094056" w:rsidRDefault="00094056"/>
    <w:p w14:paraId="754D06BC" w14:textId="368E4A42" w:rsidR="00721048" w:rsidRDefault="00094056"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721048" w:rsidSect="007210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5a9ar95gertvzezpscv09f1dewtst2z2f9f&quot;&gt;Biblio Lambda Foie&lt;record-ids&gt;&lt;item&gt;39&lt;/item&gt;&lt;item&gt;41&lt;/item&gt;&lt;/record-ids&gt;&lt;/item&gt;&lt;/Libraries&gt;"/>
  </w:docVars>
  <w:rsids>
    <w:rsidRoot w:val="0049718C"/>
    <w:rsid w:val="00094056"/>
    <w:rsid w:val="0049718C"/>
    <w:rsid w:val="00716C41"/>
    <w:rsid w:val="00721048"/>
    <w:rsid w:val="0072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98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8C"/>
    <w:rPr>
      <w:rFonts w:ascii="Times New Roman" w:eastAsia="MS Minngs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40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8C"/>
    <w:rPr>
      <w:rFonts w:ascii="Times New Roman" w:eastAsia="MS Minngs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4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1142</Characters>
  <Application>Microsoft Macintosh Word</Application>
  <DocSecurity>0</DocSecurity>
  <Lines>9</Lines>
  <Paragraphs>2</Paragraphs>
  <ScaleCrop>false</ScaleCrop>
  <Company>UCL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Michiels</dc:creator>
  <cp:keywords/>
  <dc:description/>
  <cp:lastModifiedBy>Thomas Michiels</cp:lastModifiedBy>
  <cp:revision>3</cp:revision>
  <dcterms:created xsi:type="dcterms:W3CDTF">2014-01-09T21:51:00Z</dcterms:created>
  <dcterms:modified xsi:type="dcterms:W3CDTF">2014-01-09T22:14:00Z</dcterms:modified>
</cp:coreProperties>
</file>