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BCE2" w14:textId="77777777" w:rsidR="000A58FB" w:rsidRPr="00B73F02" w:rsidRDefault="000A58FB" w:rsidP="000A58FB">
      <w:pPr>
        <w:spacing w:after="320" w:line="280" w:lineRule="exact"/>
        <w:rPr>
          <w:rFonts w:ascii="Arial" w:hAnsi="Arial"/>
          <w:sz w:val="18"/>
          <w:szCs w:val="20"/>
        </w:rPr>
      </w:pPr>
      <w:r w:rsidRPr="00B73F02">
        <w:rPr>
          <w:rFonts w:ascii="Arial" w:hAnsi="Arial"/>
          <w:sz w:val="18"/>
          <w:szCs w:val="20"/>
        </w:rPr>
        <w:t>Supplemental file</w:t>
      </w:r>
    </w:p>
    <w:p w14:paraId="27952AD5" w14:textId="77777777" w:rsidR="000A58FB" w:rsidRPr="00B73F02" w:rsidRDefault="000A58FB" w:rsidP="000A58FB">
      <w:pPr>
        <w:spacing w:line="280" w:lineRule="exact"/>
        <w:outlineLvl w:val="0"/>
        <w:rPr>
          <w:rFonts w:ascii="Arial" w:hAnsi="Arial"/>
          <w:b/>
          <w:bCs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Supplemental </w:t>
      </w:r>
      <w:r w:rsidRPr="00B73F02">
        <w:rPr>
          <w:rFonts w:ascii="Arial" w:hAnsi="Arial"/>
          <w:b/>
          <w:bCs/>
          <w:sz w:val="18"/>
          <w:szCs w:val="20"/>
        </w:rPr>
        <w:t>MATERIAL AND METHODS</w:t>
      </w:r>
    </w:p>
    <w:p w14:paraId="2098E341" w14:textId="77777777" w:rsidR="000A58FB" w:rsidRPr="00B73F02" w:rsidRDefault="000A58FB" w:rsidP="000A58FB">
      <w:pPr>
        <w:spacing w:line="280" w:lineRule="exact"/>
        <w:rPr>
          <w:rFonts w:ascii="Arial" w:hAnsi="Arial"/>
          <w:sz w:val="18"/>
        </w:rPr>
      </w:pPr>
      <w:r w:rsidRPr="00B73F02">
        <w:rPr>
          <w:rFonts w:ascii="Arial" w:hAnsi="Arial"/>
          <w:i/>
          <w:sz w:val="18"/>
        </w:rPr>
        <w:t xml:space="preserve">Protein Expression and </w:t>
      </w:r>
      <w:proofErr w:type="spellStart"/>
      <w:r w:rsidRPr="00B73F02">
        <w:rPr>
          <w:rFonts w:ascii="Arial" w:hAnsi="Arial"/>
          <w:i/>
          <w:sz w:val="18"/>
        </w:rPr>
        <w:t>Immunoblotting</w:t>
      </w:r>
      <w:proofErr w:type="spellEnd"/>
      <w:r w:rsidRPr="00B73F02">
        <w:rPr>
          <w:rFonts w:ascii="Arial" w:hAnsi="Arial"/>
          <w:i/>
          <w:sz w:val="18"/>
        </w:rPr>
        <w:t xml:space="preserve">. </w:t>
      </w:r>
      <w:r w:rsidRPr="00B73F02">
        <w:rPr>
          <w:rFonts w:ascii="Arial" w:hAnsi="Arial"/>
          <w:sz w:val="18"/>
        </w:rPr>
        <w:t xml:space="preserve">Experiments were conducted in 6-well dishes, where 1x105 293T cells were seeded in each well and transfected with 2µg of DNA using </w:t>
      </w:r>
      <w:proofErr w:type="spellStart"/>
      <w:r w:rsidRPr="00B73F02">
        <w:rPr>
          <w:rFonts w:ascii="Arial" w:hAnsi="Arial"/>
          <w:sz w:val="18"/>
        </w:rPr>
        <w:t>polyethylenimine</w:t>
      </w:r>
      <w:proofErr w:type="spellEnd"/>
      <w:r w:rsidRPr="00B73F02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>After 24h, the medium was changed to remove the transfection mix and the cells were rinsed twice with serum-free DMEM to remove any traces of serum.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>The cells were then incubated for 24h in serum-free DMEM.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 xml:space="preserve">The cells were then washed twice with PBS and lysed with a 1% Triton X-100 </w:t>
      </w:r>
      <w:proofErr w:type="spellStart"/>
      <w:r w:rsidRPr="00B73F02">
        <w:rPr>
          <w:rFonts w:ascii="Arial" w:hAnsi="Arial"/>
          <w:sz w:val="18"/>
        </w:rPr>
        <w:t>lysis</w:t>
      </w:r>
      <w:proofErr w:type="spellEnd"/>
      <w:r w:rsidRPr="00B73F02">
        <w:rPr>
          <w:rFonts w:ascii="Arial" w:hAnsi="Arial"/>
          <w:sz w:val="18"/>
        </w:rPr>
        <w:t xml:space="preserve"> buffer containing 150 </w:t>
      </w:r>
      <w:proofErr w:type="spellStart"/>
      <w:r w:rsidRPr="00B73F02">
        <w:rPr>
          <w:rFonts w:ascii="Arial" w:hAnsi="Arial"/>
          <w:sz w:val="18"/>
        </w:rPr>
        <w:t>mM</w:t>
      </w:r>
      <w:proofErr w:type="spellEnd"/>
      <w:r w:rsidRPr="00B73F02">
        <w:rPr>
          <w:rFonts w:ascii="Arial" w:hAnsi="Arial"/>
          <w:sz w:val="18"/>
        </w:rPr>
        <w:t xml:space="preserve"> </w:t>
      </w:r>
      <w:proofErr w:type="spellStart"/>
      <w:r w:rsidRPr="00B73F02">
        <w:rPr>
          <w:rFonts w:ascii="Arial" w:hAnsi="Arial"/>
          <w:sz w:val="18"/>
        </w:rPr>
        <w:t>NaCl</w:t>
      </w:r>
      <w:proofErr w:type="spellEnd"/>
      <w:r w:rsidRPr="00B73F02">
        <w:rPr>
          <w:rFonts w:ascii="Arial" w:hAnsi="Arial"/>
          <w:sz w:val="18"/>
        </w:rPr>
        <w:t xml:space="preserve">, 20 </w:t>
      </w:r>
      <w:proofErr w:type="spellStart"/>
      <w:r w:rsidRPr="00B73F02">
        <w:rPr>
          <w:rFonts w:ascii="Arial" w:hAnsi="Arial"/>
          <w:sz w:val="18"/>
        </w:rPr>
        <w:t>mM</w:t>
      </w:r>
      <w:proofErr w:type="spellEnd"/>
      <w:r w:rsidRPr="00B73F02">
        <w:rPr>
          <w:rFonts w:ascii="Arial" w:hAnsi="Arial"/>
          <w:sz w:val="18"/>
        </w:rPr>
        <w:t xml:space="preserve"> HEPES, 10% glycerol, 1mM EDTA, 1mM PMSF, 1µg/ml </w:t>
      </w:r>
      <w:proofErr w:type="spellStart"/>
      <w:r w:rsidRPr="00B73F02">
        <w:rPr>
          <w:rFonts w:ascii="Arial" w:hAnsi="Arial"/>
          <w:sz w:val="18"/>
        </w:rPr>
        <w:t>aprotinin</w:t>
      </w:r>
      <w:proofErr w:type="spellEnd"/>
      <w:r w:rsidRPr="00B73F02">
        <w:rPr>
          <w:rFonts w:ascii="Arial" w:hAnsi="Arial"/>
          <w:sz w:val="18"/>
        </w:rPr>
        <w:t xml:space="preserve">, 1 µg/ml </w:t>
      </w:r>
      <w:proofErr w:type="spellStart"/>
      <w:r w:rsidRPr="00B73F02">
        <w:rPr>
          <w:rFonts w:ascii="Arial" w:hAnsi="Arial"/>
          <w:sz w:val="18"/>
        </w:rPr>
        <w:t>pepstatin</w:t>
      </w:r>
      <w:proofErr w:type="spellEnd"/>
      <w:r w:rsidRPr="00B73F02">
        <w:rPr>
          <w:rFonts w:ascii="Arial" w:hAnsi="Arial"/>
          <w:sz w:val="18"/>
        </w:rPr>
        <w:t xml:space="preserve">, 1 µg/ml </w:t>
      </w:r>
      <w:proofErr w:type="spellStart"/>
      <w:r w:rsidRPr="00B73F02">
        <w:rPr>
          <w:rFonts w:ascii="Arial" w:hAnsi="Arial"/>
          <w:sz w:val="18"/>
        </w:rPr>
        <w:t>leupeptin</w:t>
      </w:r>
      <w:proofErr w:type="spellEnd"/>
      <w:r w:rsidRPr="00B73F02">
        <w:rPr>
          <w:rFonts w:ascii="Arial" w:hAnsi="Arial"/>
          <w:sz w:val="18"/>
        </w:rPr>
        <w:t xml:space="preserve"> and 1 </w:t>
      </w:r>
      <w:proofErr w:type="spellStart"/>
      <w:r w:rsidRPr="00B73F02">
        <w:rPr>
          <w:rFonts w:ascii="Arial" w:hAnsi="Arial"/>
          <w:sz w:val="18"/>
        </w:rPr>
        <w:t>mM</w:t>
      </w:r>
      <w:proofErr w:type="spellEnd"/>
      <w:r w:rsidRPr="00B73F02">
        <w:rPr>
          <w:rFonts w:ascii="Arial" w:hAnsi="Arial"/>
          <w:sz w:val="18"/>
        </w:rPr>
        <w:t xml:space="preserve"> sodium </w:t>
      </w:r>
      <w:proofErr w:type="spellStart"/>
      <w:r w:rsidRPr="00B73F02">
        <w:rPr>
          <w:rFonts w:ascii="Arial" w:hAnsi="Arial"/>
          <w:sz w:val="18"/>
        </w:rPr>
        <w:t>orthovanadate</w:t>
      </w:r>
      <w:proofErr w:type="spellEnd"/>
      <w:r w:rsidRPr="00B73F02">
        <w:rPr>
          <w:rFonts w:ascii="Arial" w:hAnsi="Arial"/>
          <w:sz w:val="18"/>
        </w:rPr>
        <w:t>.</w:t>
      </w:r>
    </w:p>
    <w:p w14:paraId="2452FF18" w14:textId="77777777" w:rsidR="000A58FB" w:rsidRPr="00B73F02" w:rsidRDefault="000A58FB" w:rsidP="000A58FB">
      <w:pPr>
        <w:spacing w:line="280" w:lineRule="exact"/>
        <w:ind w:firstLine="284"/>
        <w:rPr>
          <w:rFonts w:ascii="Arial" w:hAnsi="Arial"/>
          <w:sz w:val="18"/>
        </w:rPr>
      </w:pPr>
      <w:r w:rsidRPr="00B73F02">
        <w:rPr>
          <w:rFonts w:ascii="Arial" w:hAnsi="Arial"/>
          <w:sz w:val="18"/>
        </w:rPr>
        <w:t xml:space="preserve">Protein concentration was determined using the </w:t>
      </w:r>
      <w:proofErr w:type="spellStart"/>
      <w:r w:rsidRPr="00B73F02">
        <w:rPr>
          <w:rFonts w:ascii="Arial" w:hAnsi="Arial"/>
          <w:sz w:val="18"/>
        </w:rPr>
        <w:t>Novagen</w:t>
      </w:r>
      <w:proofErr w:type="spellEnd"/>
      <w:r w:rsidRPr="00B73F02">
        <w:rPr>
          <w:rFonts w:ascii="Arial" w:hAnsi="Arial"/>
          <w:sz w:val="18"/>
        </w:rPr>
        <w:t xml:space="preserve"> BCA protein assay kit following the manufacturer’s instructions.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 xml:space="preserve">The proteins of each lysate (30 µg) were mixed in </w:t>
      </w:r>
      <w:proofErr w:type="spellStart"/>
      <w:r w:rsidRPr="00B73F02">
        <w:rPr>
          <w:rFonts w:ascii="Arial" w:hAnsi="Arial"/>
          <w:sz w:val="18"/>
        </w:rPr>
        <w:t>Laemmli</w:t>
      </w:r>
      <w:proofErr w:type="spellEnd"/>
      <w:r w:rsidRPr="00B73F02">
        <w:rPr>
          <w:rFonts w:ascii="Arial" w:hAnsi="Arial"/>
          <w:sz w:val="18"/>
        </w:rPr>
        <w:t xml:space="preserve"> sample buffer (67 </w:t>
      </w:r>
      <w:proofErr w:type="spellStart"/>
      <w:r w:rsidRPr="00B73F02">
        <w:rPr>
          <w:rFonts w:ascii="Arial" w:hAnsi="Arial"/>
          <w:sz w:val="18"/>
        </w:rPr>
        <w:t>mM</w:t>
      </w:r>
      <w:proofErr w:type="spellEnd"/>
      <w:r w:rsidRPr="00B73F02">
        <w:rPr>
          <w:rFonts w:ascii="Arial" w:hAnsi="Arial"/>
          <w:sz w:val="18"/>
        </w:rPr>
        <w:t xml:space="preserve"> </w:t>
      </w:r>
      <w:proofErr w:type="spellStart"/>
      <w:r w:rsidRPr="00B73F02">
        <w:rPr>
          <w:rFonts w:ascii="Arial" w:hAnsi="Arial"/>
          <w:sz w:val="18"/>
        </w:rPr>
        <w:t>Tris-HCl</w:t>
      </w:r>
      <w:proofErr w:type="spellEnd"/>
      <w:r w:rsidRPr="00B73F02">
        <w:rPr>
          <w:rFonts w:ascii="Arial" w:hAnsi="Arial"/>
          <w:sz w:val="18"/>
        </w:rPr>
        <w:t xml:space="preserve"> pH 6.8, 10% glycerol, 1.25% SDS, 0.0025% </w:t>
      </w:r>
      <w:proofErr w:type="spellStart"/>
      <w:r w:rsidRPr="00B73F02">
        <w:rPr>
          <w:rFonts w:ascii="Arial" w:hAnsi="Arial"/>
          <w:sz w:val="18"/>
        </w:rPr>
        <w:t>bromophenol</w:t>
      </w:r>
      <w:proofErr w:type="spellEnd"/>
      <w:r w:rsidRPr="00B73F02">
        <w:rPr>
          <w:rFonts w:ascii="Arial" w:hAnsi="Arial"/>
          <w:sz w:val="18"/>
        </w:rPr>
        <w:t xml:space="preserve"> blue and 2.5% β-</w:t>
      </w:r>
      <w:proofErr w:type="spellStart"/>
      <w:r w:rsidRPr="00B73F02">
        <w:rPr>
          <w:rFonts w:ascii="Arial" w:hAnsi="Arial"/>
          <w:sz w:val="18"/>
        </w:rPr>
        <w:t>mercaptoethanol</w:t>
      </w:r>
      <w:proofErr w:type="spellEnd"/>
      <w:r w:rsidRPr="00B73F02">
        <w:rPr>
          <w:rFonts w:ascii="Arial" w:hAnsi="Arial"/>
          <w:sz w:val="18"/>
        </w:rPr>
        <w:t>) and separated by SDS-PAGE on a 10% acrylamide gel.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>Proteins were then transferred on PVDF membranes.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 xml:space="preserve">The membranes were blocked with 5% non-fat powdered milk in TBST (50 </w:t>
      </w:r>
      <w:proofErr w:type="spellStart"/>
      <w:r w:rsidRPr="00B73F02">
        <w:rPr>
          <w:rFonts w:ascii="Arial" w:hAnsi="Arial"/>
          <w:sz w:val="18"/>
        </w:rPr>
        <w:t>mM</w:t>
      </w:r>
      <w:proofErr w:type="spellEnd"/>
      <w:r w:rsidRPr="00B73F02">
        <w:rPr>
          <w:rFonts w:ascii="Arial" w:hAnsi="Arial"/>
          <w:sz w:val="18"/>
        </w:rPr>
        <w:t xml:space="preserve"> </w:t>
      </w:r>
      <w:proofErr w:type="spellStart"/>
      <w:r w:rsidRPr="00B73F02">
        <w:rPr>
          <w:rFonts w:ascii="Arial" w:hAnsi="Arial"/>
          <w:sz w:val="18"/>
        </w:rPr>
        <w:t>Tris</w:t>
      </w:r>
      <w:proofErr w:type="spellEnd"/>
      <w:r w:rsidRPr="00B73F02">
        <w:rPr>
          <w:rFonts w:ascii="Arial" w:hAnsi="Arial"/>
          <w:sz w:val="18"/>
        </w:rPr>
        <w:t xml:space="preserve"> pH 7.6, 150 </w:t>
      </w:r>
      <w:proofErr w:type="spellStart"/>
      <w:r w:rsidRPr="00B73F02">
        <w:rPr>
          <w:rFonts w:ascii="Arial" w:hAnsi="Arial"/>
          <w:sz w:val="18"/>
        </w:rPr>
        <w:t>mM</w:t>
      </w:r>
      <w:proofErr w:type="spellEnd"/>
      <w:r w:rsidRPr="00B73F02">
        <w:rPr>
          <w:rFonts w:ascii="Arial" w:hAnsi="Arial"/>
          <w:sz w:val="18"/>
        </w:rPr>
        <w:t xml:space="preserve"> </w:t>
      </w:r>
      <w:proofErr w:type="spellStart"/>
      <w:r w:rsidRPr="00B73F02">
        <w:rPr>
          <w:rFonts w:ascii="Arial" w:hAnsi="Arial"/>
          <w:sz w:val="18"/>
        </w:rPr>
        <w:t>NaCL</w:t>
      </w:r>
      <w:proofErr w:type="spellEnd"/>
      <w:r w:rsidRPr="00B73F02">
        <w:rPr>
          <w:rFonts w:ascii="Arial" w:hAnsi="Arial"/>
          <w:sz w:val="18"/>
        </w:rPr>
        <w:t>, 0.05% Tween-20).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>They were then incubated with the primary antibodies overnight at 4°C.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>The primary antibodies used were ERK1/2 1:1000 (Cell Signalling #9102) and Phospho-ERK1/2 1:1000 (Cell signalling #9106).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 xml:space="preserve">The membranes were washed 3 times with TBST for 10 minutes each and incubated horseradish </w:t>
      </w:r>
      <w:proofErr w:type="spellStart"/>
      <w:r w:rsidRPr="00B73F02">
        <w:rPr>
          <w:rFonts w:ascii="Arial" w:hAnsi="Arial"/>
          <w:sz w:val="18"/>
        </w:rPr>
        <w:t>peroxydase</w:t>
      </w:r>
      <w:proofErr w:type="spellEnd"/>
      <w:r w:rsidRPr="00B73F02">
        <w:rPr>
          <w:rFonts w:ascii="Arial" w:hAnsi="Arial"/>
          <w:sz w:val="18"/>
        </w:rPr>
        <w:t>-coupled secondary antibody for 1 hour at room temperature in the blocking solution.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>The secondary antibodies used were donkey anti-rabbit 1:5000 (Amersham #NA934) and sheep anti-mouse 1:5000 (Amersham #NA931).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>The membranes were washed again 3 times with TBST for 10 minutes each.</w:t>
      </w:r>
      <w:r>
        <w:rPr>
          <w:rFonts w:ascii="Arial" w:hAnsi="Arial"/>
          <w:sz w:val="18"/>
        </w:rPr>
        <w:t xml:space="preserve"> </w:t>
      </w:r>
      <w:r w:rsidRPr="00B73F02">
        <w:rPr>
          <w:rFonts w:ascii="Arial" w:hAnsi="Arial"/>
          <w:sz w:val="18"/>
        </w:rPr>
        <w:t>The antibodies were detected using an ECL detection kit (Amersham) and exposed on X-Ray film (Thermo scientific).</w:t>
      </w:r>
    </w:p>
    <w:p w14:paraId="1F110454" w14:textId="77777777" w:rsidR="000A58FB" w:rsidRPr="0095729F" w:rsidRDefault="000A58FB" w:rsidP="005F15E4">
      <w:pPr>
        <w:spacing w:after="320" w:line="280" w:lineRule="exact"/>
        <w:jc w:val="center"/>
        <w:rPr>
          <w:rFonts w:ascii="Arial" w:hAnsi="Arial"/>
          <w:sz w:val="18"/>
          <w:szCs w:val="20"/>
        </w:rPr>
      </w:pPr>
      <w:bookmarkStart w:id="0" w:name="_GoBack"/>
      <w:bookmarkEnd w:id="0"/>
    </w:p>
    <w:p w14:paraId="6ADFBE5D" w14:textId="77777777" w:rsidR="003C21A6" w:rsidRDefault="003C21A6"/>
    <w:sectPr w:rsidR="003C21A6" w:rsidSect="000A58FB">
      <w:pgSz w:w="12240" w:h="15840"/>
      <w:pgMar w:top="1440" w:right="1440" w:bottom="1440" w:left="1440" w:header="708" w:footer="708" w:gutter="0"/>
      <w:cols w:space="1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B"/>
    <w:rsid w:val="000A58FB"/>
    <w:rsid w:val="003C21A6"/>
    <w:rsid w:val="005F15E4"/>
    <w:rsid w:val="00675558"/>
    <w:rsid w:val="006758E9"/>
    <w:rsid w:val="008436FB"/>
    <w:rsid w:val="00845381"/>
    <w:rsid w:val="008816F6"/>
    <w:rsid w:val="00C75B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4D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FB"/>
    <w:pPr>
      <w:spacing w:after="200" w:line="276" w:lineRule="auto"/>
    </w:pPr>
    <w:rPr>
      <w:rFonts w:ascii="Calibri" w:eastAsia="SimSun" w:hAnsi="Calibri" w:cs="Tms Rm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8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8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FB"/>
    <w:pPr>
      <w:spacing w:after="200" w:line="276" w:lineRule="auto"/>
    </w:pPr>
    <w:rPr>
      <w:rFonts w:ascii="Calibri" w:eastAsia="SimSun" w:hAnsi="Calibri" w:cs="Tms Rm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8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8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Macintosh Word</Application>
  <DocSecurity>0</DocSecurity>
  <Lines>13</Lines>
  <Paragraphs>3</Paragraphs>
  <ScaleCrop>false</ScaleCrop>
  <Company>McGill University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Dankort</dc:creator>
  <cp:keywords/>
  <dc:description/>
  <cp:lastModifiedBy>David Dankort</cp:lastModifiedBy>
  <cp:revision>2</cp:revision>
  <dcterms:created xsi:type="dcterms:W3CDTF">2013-09-11T20:24:00Z</dcterms:created>
  <dcterms:modified xsi:type="dcterms:W3CDTF">2013-09-11T20:24:00Z</dcterms:modified>
</cp:coreProperties>
</file>