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0F" w:rsidRDefault="004F290F" w:rsidP="004F290F">
      <w:pPr>
        <w:tabs>
          <w:tab w:val="left" w:pos="6750"/>
        </w:tabs>
        <w:spacing w:after="100" w:afterAutospacing="1" w:line="480" w:lineRule="auto"/>
        <w:rPr>
          <w:rFonts w:ascii="Times New Roman" w:hAnsi="Times New Roman"/>
          <w:b/>
          <w:sz w:val="24"/>
        </w:rPr>
      </w:pPr>
      <w:proofErr w:type="gramStart"/>
      <w:r>
        <w:rPr>
          <w:rFonts w:ascii="Times New Roman" w:hAnsi="Times New Roman"/>
          <w:b/>
          <w:sz w:val="24"/>
        </w:rPr>
        <w:t>Appendix S3.</w:t>
      </w:r>
      <w:proofErr w:type="gramEnd"/>
      <w:r>
        <w:rPr>
          <w:rFonts w:ascii="Times New Roman" w:hAnsi="Times New Roman"/>
          <w:b/>
          <w:sz w:val="24"/>
        </w:rPr>
        <w:t xml:space="preserve"> Fertility–trait relationships in N- and P-limited ecosystems</w:t>
      </w:r>
    </w:p>
    <w:p w:rsidR="004F290F" w:rsidRDefault="004F290F" w:rsidP="004F290F">
      <w:pPr>
        <w:spacing w:after="100" w:afterAutospacing="1" w:line="480" w:lineRule="auto"/>
        <w:rPr>
          <w:rFonts w:ascii="Times New Roman" w:hAnsi="Times New Roman"/>
          <w:sz w:val="24"/>
        </w:rPr>
      </w:pPr>
      <w:r w:rsidRPr="002B4CE0">
        <w:rPr>
          <w:rFonts w:ascii="Times New Roman" w:hAnsi="Times New Roman"/>
          <w:sz w:val="24"/>
        </w:rPr>
        <w:t xml:space="preserve">In order to </w:t>
      </w:r>
      <w:r>
        <w:rPr>
          <w:rFonts w:ascii="Times New Roman" w:hAnsi="Times New Roman"/>
          <w:sz w:val="24"/>
        </w:rPr>
        <w:t>examine if our findings were not biased by the distribution of N- and P-limited plots of our dataset, we analyzed the relationship</w:t>
      </w:r>
      <w:r w:rsidRPr="00D30946">
        <w:rPr>
          <w:rFonts w:ascii="Times New Roman" w:hAnsi="Times New Roman"/>
          <w:sz w:val="24"/>
        </w:rPr>
        <w:t xml:space="preserve">s of soil fertility and plant traits separately for N- and P-limited </w:t>
      </w:r>
      <w:r>
        <w:rPr>
          <w:rFonts w:ascii="Times New Roman" w:hAnsi="Times New Roman"/>
          <w:sz w:val="24"/>
        </w:rPr>
        <w:t>plots</w:t>
      </w:r>
      <w:r w:rsidRPr="00D30946">
        <w:rPr>
          <w:rFonts w:ascii="Times New Roman" w:hAnsi="Times New Roman"/>
          <w:sz w:val="24"/>
        </w:rPr>
        <w:t xml:space="preserve">. The type of limitation </w:t>
      </w:r>
      <w:r>
        <w:rPr>
          <w:rFonts w:ascii="Times New Roman" w:hAnsi="Times New Roman"/>
          <w:sz w:val="24"/>
        </w:rPr>
        <w:t>can be approximated by the N</w:t>
      </w:r>
      <w:proofErr w:type="gramStart"/>
      <w:r>
        <w:rPr>
          <w:rFonts w:ascii="Times New Roman" w:hAnsi="Times New Roman"/>
          <w:sz w:val="24"/>
        </w:rPr>
        <w:t>:P</w:t>
      </w:r>
      <w:proofErr w:type="gramEnd"/>
      <w:r>
        <w:rPr>
          <w:rFonts w:ascii="Times New Roman" w:hAnsi="Times New Roman"/>
          <w:sz w:val="24"/>
        </w:rPr>
        <w:t xml:space="preserve"> ratio of above-ground vascular plant biomass</w:t>
      </w:r>
      <w:r w:rsidRPr="00C80486">
        <w:rPr>
          <w:rFonts w:ascii="Times New Roman" w:hAnsi="Times New Roman"/>
          <w:sz w:val="24"/>
        </w:rPr>
        <w:t xml:space="preserve"> </w:t>
      </w:r>
      <w:r>
        <w:rPr>
          <w:rFonts w:ascii="Times New Roman" w:hAnsi="Times New Roman"/>
          <w:sz w:val="24"/>
        </w:rPr>
        <w:fldChar w:fldCharType="begin">
          <w:fldData xml:space="preserve">PEVuZE5vdGU+PENpdGU+PEF1dGhvcj5PbGRlIFZlbnRlcmluazwvQXV0aG9yPjxZZWFyPjIwMDM8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</w:fldData>
        </w:fldChar>
      </w:r>
      <w:r w:rsidR="00E256C8">
        <w:rPr>
          <w:rFonts w:ascii="Times New Roman" w:hAnsi="Times New Roman"/>
          <w:sz w:val="24"/>
        </w:rPr>
        <w:instrText xml:space="preserve"> ADDIN EN.CITE </w:instrText>
      </w:r>
      <w:r w:rsidR="00E256C8">
        <w:rPr>
          <w:rFonts w:ascii="Times New Roman" w:hAnsi="Times New Roman"/>
          <w:sz w:val="24"/>
        </w:rPr>
        <w:fldChar w:fldCharType="begin">
          <w:fldData xml:space="preserve">PEVuZE5vdGU+PENpdGU+PEF1dGhvcj5PbGRlIFZlbnRlcmluazwvQXV0aG9yPjxZZWFyPjIwMDM8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</w:fldData>
        </w:fldChar>
      </w:r>
      <w:r w:rsidR="00E256C8">
        <w:rPr>
          <w:rFonts w:ascii="Times New Roman" w:hAnsi="Times New Roman"/>
          <w:sz w:val="24"/>
        </w:rPr>
        <w:instrText xml:space="preserve"> ADDIN EN.CITE.DATA </w:instrText>
      </w:r>
      <w:r w:rsidR="00E256C8">
        <w:rPr>
          <w:rFonts w:ascii="Times New Roman" w:hAnsi="Times New Roman"/>
          <w:sz w:val="24"/>
        </w:rPr>
      </w:r>
      <w:r w:rsidR="00E256C8">
        <w:rPr>
          <w:rFonts w:ascii="Times New Roman" w:hAnsi="Times New Roman"/>
          <w:sz w:val="24"/>
        </w:rPr>
        <w:fldChar w:fldCharType="end"/>
      </w:r>
      <w:r>
        <w:rPr>
          <w:rFonts w:ascii="Times New Roman" w:hAnsi="Times New Roman"/>
          <w:sz w:val="24"/>
        </w:rPr>
        <w:fldChar w:fldCharType="separate"/>
      </w:r>
      <w:r w:rsidR="00E256C8">
        <w:rPr>
          <w:rFonts w:ascii="Times New Roman" w:hAnsi="Times New Roman"/>
          <w:noProof/>
          <w:sz w:val="24"/>
        </w:rPr>
        <w:t>[</w:t>
      </w:r>
      <w:hyperlink w:anchor="_ENREF_1" w:tooltip="Olde Venterink, 2003 #180" w:history="1">
        <w:r w:rsidR="00E256C8">
          <w:rPr>
            <w:rFonts w:ascii="Times New Roman" w:hAnsi="Times New Roman"/>
            <w:noProof/>
            <w:sz w:val="24"/>
          </w:rPr>
          <w:t>1</w:t>
        </w:r>
      </w:hyperlink>
      <w:r w:rsidR="00E256C8">
        <w:rPr>
          <w:rFonts w:ascii="Times New Roman" w:hAnsi="Times New Roman"/>
          <w:noProof/>
          <w:sz w:val="24"/>
        </w:rPr>
        <w:t>,</w:t>
      </w:r>
      <w:hyperlink w:anchor="_ENREF_2" w:tooltip="Verhoeven, 1996 #92" w:history="1">
        <w:r w:rsidR="00E256C8">
          <w:rPr>
            <w:rFonts w:ascii="Times New Roman" w:hAnsi="Times New Roman"/>
            <w:noProof/>
            <w:sz w:val="24"/>
          </w:rPr>
          <w:t>2</w:t>
        </w:r>
      </w:hyperlink>
      <w:r w:rsidR="00E256C8">
        <w:rPr>
          <w:rFonts w:ascii="Times New Roman" w:hAnsi="Times New Roman"/>
          <w:noProof/>
          <w:sz w:val="24"/>
        </w:rPr>
        <w:t>]</w:t>
      </w:r>
      <w:r>
        <w:rPr>
          <w:rFonts w:ascii="Times New Roman" w:hAnsi="Times New Roman"/>
          <w:sz w:val="24"/>
        </w:rPr>
        <w:fldChar w:fldCharType="end"/>
      </w:r>
      <w:r w:rsidRPr="00C80486">
        <w:rPr>
          <w:rFonts w:ascii="Times New Roman" w:hAnsi="Times New Roman"/>
          <w:sz w:val="24"/>
        </w:rPr>
        <w:t>.</w:t>
      </w:r>
      <w:r>
        <w:rPr>
          <w:rFonts w:ascii="Times New Roman" w:hAnsi="Times New Roman"/>
          <w:sz w:val="24"/>
        </w:rPr>
        <w:t xml:space="preserve"> For the sites which have no data on nutrient concentrations on a whole-canopy level (i.e. dataset 3: </w:t>
      </w:r>
      <w:r w:rsidRPr="00AD65F3">
        <w:rPr>
          <w:rFonts w:ascii="Times New Roman" w:hAnsi="Times New Roman"/>
          <w:i/>
          <w:sz w:val="24"/>
        </w:rPr>
        <w:t>n</w:t>
      </w:r>
      <w:r>
        <w:rPr>
          <w:rFonts w:ascii="Times New Roman" w:hAnsi="Times New Roman"/>
          <w:sz w:val="24"/>
        </w:rPr>
        <w:t>=51), we used leaf-level nutrient concentrations to calculate plant N</w:t>
      </w:r>
      <w:proofErr w:type="gramStart"/>
      <w:r>
        <w:rPr>
          <w:rFonts w:ascii="Times New Roman" w:hAnsi="Times New Roman"/>
          <w:sz w:val="24"/>
        </w:rPr>
        <w:t>:P</w:t>
      </w:r>
      <w:proofErr w:type="gramEnd"/>
      <w:r>
        <w:rPr>
          <w:rFonts w:ascii="Times New Roman" w:hAnsi="Times New Roman"/>
          <w:sz w:val="24"/>
        </w:rPr>
        <w:t xml:space="preserve"> ratios. One site was excluded from the analysis because it did not have plant nutrient concentration data at all. With the threshold N:P ratio value of 15 </w:t>
      </w:r>
      <w:r>
        <w:rPr>
          <w:rFonts w:ascii="Times New Roman" w:hAnsi="Times New Roman"/>
          <w:sz w:val="24"/>
        </w:rPr>
        <w:fldChar w:fldCharType="begin"/>
      </w:r>
      <w:r w:rsidR="00E256C8">
        <w:rPr>
          <w:rFonts w:ascii="Times New Roman" w:hAnsi="Times New Roman"/>
          <w:sz w:val="24"/>
        </w:rPr>
        <w:instrText xml:space="preserve"> ADDIN EN.CITE &lt;EndNote&gt;&lt;Cite&gt;&lt;Author&gt;Verhoeven&lt;/Author&gt;&lt;Year&gt;1996&lt;/Year&gt;&lt;RecNum&gt;92&lt;/RecNum&gt;&lt;DisplayText&gt;[2]&lt;/DisplayText&gt;&lt;record&gt;&lt;rec-number&gt;92&lt;/rec-number&gt;&lt;foreign-keys&gt;&lt;key app="EN" db-id="xewdfa20prpv5cefs985xp5k2sppst0rp0d0"&gt;92&lt;/key&gt;&lt;/foreign-keys&gt;&lt;ref-type name="Journal Article"&gt;17&lt;/ref-type&gt;&lt;contributors&gt;&lt;authors&gt;&lt;author&gt;Verhoeven, J. T. A.&lt;/author&gt;&lt;author&gt;Koerselman, W.&lt;/author&gt;&lt;author&gt;Meuleman, A. F. M.&lt;/author&gt;&lt;/authors&gt;&lt;/contributors&gt;&lt;titles&gt;&lt;title&gt;Nitrogen- or phosphorus-limited growth in herbaceous, wet vegetation: relations with atmospheric inputs and management regimes&lt;/title&gt;&lt;secondary-title&gt;Trends in Ecology and Evolution&lt;/secondary-title&gt;&lt;/titles&gt;&lt;periodical&gt;&lt;full-title&gt;Trends in Ecology and Evolution&lt;/full-title&gt;&lt;/periodical&gt;&lt;pages&gt;494-497&lt;/pages&gt;&lt;volume&gt;11&lt;/volume&gt;&lt;number&gt;12&lt;/number&gt;&lt;dates&gt;&lt;year&gt;1996&lt;/year&gt;&lt;/dates&gt;&lt;accession-num&gt;94&lt;/accession-num&gt;&lt;urls&gt;&lt;/urls&gt;&lt;/record&gt;&lt;/Cite&gt;&lt;/EndNote&gt;</w:instrText>
      </w:r>
      <w:r>
        <w:rPr>
          <w:rFonts w:ascii="Times New Roman" w:hAnsi="Times New Roman"/>
          <w:sz w:val="24"/>
        </w:rPr>
        <w:fldChar w:fldCharType="separate"/>
      </w:r>
      <w:r w:rsidR="00E256C8">
        <w:rPr>
          <w:rFonts w:ascii="Times New Roman" w:hAnsi="Times New Roman"/>
          <w:noProof/>
          <w:sz w:val="24"/>
        </w:rPr>
        <w:t>[</w:t>
      </w:r>
      <w:hyperlink w:anchor="_ENREF_2" w:tooltip="Verhoeven, 1996 #92" w:history="1">
        <w:r w:rsidR="00E256C8">
          <w:rPr>
            <w:rFonts w:ascii="Times New Roman" w:hAnsi="Times New Roman"/>
            <w:noProof/>
            <w:sz w:val="24"/>
          </w:rPr>
          <w:t>2</w:t>
        </w:r>
      </w:hyperlink>
      <w:r w:rsidR="00E256C8">
        <w:rPr>
          <w:rFonts w:ascii="Times New Roman" w:hAnsi="Times New Roman"/>
          <w:noProof/>
          <w:sz w:val="24"/>
        </w:rPr>
        <w:t>]</w:t>
      </w:r>
      <w:r>
        <w:rPr>
          <w:rFonts w:ascii="Times New Roman" w:hAnsi="Times New Roman"/>
          <w:sz w:val="24"/>
        </w:rPr>
        <w:fldChar w:fldCharType="end"/>
      </w:r>
      <w:r>
        <w:rPr>
          <w:rFonts w:ascii="Times New Roman" w:hAnsi="Times New Roman"/>
          <w:sz w:val="24"/>
        </w:rPr>
        <w:t>, our dataset was classified into 69 N-limited (N:P&lt;15) and 64 P-limited (N:P&gt;15) plots. The number of plots from each dataset was 16 (dataset 1), 43 (dataset 2), and 10 (dataset 3) for N-limited plots, and 19 (dataset 1), 4 (dataset 2), and 41 (dataset 3) for P-limited plots.</w:t>
      </w:r>
    </w:p>
    <w:p w:rsidR="004F290F" w:rsidRDefault="004F290F" w:rsidP="004F290F">
      <w:pPr>
        <w:spacing w:after="100" w:afterAutospacing="1" w:line="480" w:lineRule="auto"/>
        <w:rPr>
          <w:rFonts w:ascii="Times New Roman" w:hAnsi="Times New Roman"/>
          <w:sz w:val="24"/>
        </w:rPr>
      </w:pPr>
      <w:r>
        <w:rPr>
          <w:rFonts w:ascii="Times New Roman" w:hAnsi="Times New Roman"/>
          <w:sz w:val="24"/>
        </w:rPr>
        <w:t xml:space="preserve">In addition, we tested the effect of the type of limitation on relationships between PCA axes (x) and plant traits (y), using a dummy variable </w:t>
      </w:r>
      <w:r>
        <w:rPr>
          <w:rFonts w:ascii="Times New Roman" w:hAnsi="Times New Roman"/>
          <w:i/>
          <w:sz w:val="24"/>
        </w:rPr>
        <w:t>d</w:t>
      </w:r>
      <w:r>
        <w:rPr>
          <w:rFonts w:ascii="Times New Roman" w:hAnsi="Times New Roman"/>
          <w:sz w:val="24"/>
        </w:rPr>
        <w:t xml:space="preserve"> (1: N-limited, 0: P-limited) in multiple linear regression. The models tested were: </w:t>
      </w:r>
      <w:r w:rsidRPr="00854161">
        <w:rPr>
          <w:rFonts w:ascii="Times New Roman" w:hAnsi="Times New Roman"/>
          <w:i/>
          <w:sz w:val="24"/>
        </w:rPr>
        <w:t>y</w:t>
      </w:r>
      <w:r>
        <w:rPr>
          <w:rFonts w:ascii="Times New Roman" w:hAnsi="Times New Roman"/>
          <w:sz w:val="24"/>
        </w:rPr>
        <w:t xml:space="preserve"> =</w:t>
      </w:r>
      <w:r w:rsidRPr="00451A46">
        <w:rPr>
          <w:rFonts w:ascii="Times New Roman" w:hAnsi="Times New Roman"/>
          <w:sz w:val="24"/>
        </w:rPr>
        <w:t xml:space="preserve"> </w:t>
      </w:r>
      <w:r w:rsidRPr="00854161">
        <w:rPr>
          <w:rFonts w:ascii="Times New Roman" w:hAnsi="Times New Roman"/>
          <w:i/>
          <w:sz w:val="24"/>
        </w:rPr>
        <w:t>β</w:t>
      </w:r>
      <w:r w:rsidRPr="00EC1B08">
        <w:rPr>
          <w:rFonts w:ascii="Times New Roman" w:hAnsi="Times New Roman"/>
          <w:sz w:val="24"/>
          <w:vertAlign w:val="subscript"/>
        </w:rPr>
        <w:t xml:space="preserve">0 </w:t>
      </w:r>
      <w:r w:rsidRPr="00451A46">
        <w:rPr>
          <w:rFonts w:ascii="Times New Roman" w:hAnsi="Times New Roman"/>
          <w:sz w:val="24"/>
        </w:rPr>
        <w:t>+</w:t>
      </w:r>
      <w:r>
        <w:rPr>
          <w:rFonts w:ascii="Times New Roman" w:hAnsi="Times New Roman"/>
          <w:sz w:val="24"/>
          <w:vertAlign w:val="subscript"/>
        </w:rPr>
        <w:t xml:space="preserve"> </w:t>
      </w:r>
      <w:r w:rsidRPr="00854161">
        <w:rPr>
          <w:rFonts w:ascii="Times New Roman" w:hAnsi="Times New Roman"/>
          <w:i/>
          <w:sz w:val="24"/>
        </w:rPr>
        <w:t>β</w:t>
      </w:r>
      <w:r w:rsidRPr="00EC1B08">
        <w:rPr>
          <w:rFonts w:ascii="Times New Roman" w:hAnsi="Times New Roman"/>
          <w:sz w:val="24"/>
          <w:vertAlign w:val="subscript"/>
        </w:rPr>
        <w:t>1</w:t>
      </w:r>
      <w:r>
        <w:rPr>
          <w:rFonts w:ascii="Times New Roman" w:hAnsi="Times New Roman"/>
          <w:sz w:val="24"/>
        </w:rPr>
        <w:t>·</w:t>
      </w:r>
      <w:r w:rsidRPr="00854161">
        <w:rPr>
          <w:rFonts w:ascii="Times New Roman" w:hAnsi="Times New Roman"/>
          <w:i/>
          <w:sz w:val="24"/>
        </w:rPr>
        <w:t>x</w:t>
      </w:r>
      <w:r>
        <w:rPr>
          <w:rFonts w:ascii="Times New Roman" w:hAnsi="Times New Roman"/>
          <w:sz w:val="24"/>
        </w:rPr>
        <w:t xml:space="preserve">, </w:t>
      </w:r>
      <w:r w:rsidRPr="00854161">
        <w:rPr>
          <w:rFonts w:ascii="Times New Roman" w:hAnsi="Times New Roman"/>
          <w:i/>
          <w:sz w:val="24"/>
        </w:rPr>
        <w:t>y</w:t>
      </w:r>
      <w:r>
        <w:rPr>
          <w:rFonts w:ascii="Times New Roman" w:hAnsi="Times New Roman"/>
          <w:sz w:val="24"/>
        </w:rPr>
        <w:t xml:space="preserve"> = </w:t>
      </w:r>
      <w:r w:rsidRPr="00854161">
        <w:rPr>
          <w:rFonts w:ascii="Times New Roman" w:hAnsi="Times New Roman"/>
          <w:i/>
          <w:sz w:val="24"/>
        </w:rPr>
        <w:t>β</w:t>
      </w:r>
      <w:r w:rsidRPr="00EC1B08">
        <w:rPr>
          <w:rFonts w:ascii="Times New Roman" w:hAnsi="Times New Roman"/>
          <w:sz w:val="24"/>
          <w:vertAlign w:val="subscript"/>
        </w:rPr>
        <w:t>0</w:t>
      </w:r>
      <w:r>
        <w:rPr>
          <w:rFonts w:ascii="Times New Roman" w:hAnsi="Times New Roman"/>
          <w:sz w:val="24"/>
          <w:vertAlign w:val="subscript"/>
        </w:rPr>
        <w:t xml:space="preserve"> </w:t>
      </w:r>
      <w:r w:rsidRPr="00451A46">
        <w:rPr>
          <w:rFonts w:ascii="Times New Roman" w:hAnsi="Times New Roman"/>
          <w:sz w:val="24"/>
        </w:rPr>
        <w:t>+</w:t>
      </w:r>
      <w:r>
        <w:rPr>
          <w:rFonts w:ascii="Times New Roman" w:hAnsi="Times New Roman"/>
          <w:sz w:val="24"/>
          <w:vertAlign w:val="subscript"/>
        </w:rPr>
        <w:t xml:space="preserve"> </w:t>
      </w:r>
      <w:r w:rsidRPr="00854161">
        <w:rPr>
          <w:rFonts w:ascii="Times New Roman" w:hAnsi="Times New Roman"/>
          <w:i/>
          <w:sz w:val="24"/>
        </w:rPr>
        <w:t>β</w:t>
      </w:r>
      <w:r w:rsidRPr="00EC1B08">
        <w:rPr>
          <w:rFonts w:ascii="Times New Roman" w:hAnsi="Times New Roman"/>
          <w:sz w:val="24"/>
          <w:vertAlign w:val="subscript"/>
        </w:rPr>
        <w:t>1</w:t>
      </w:r>
      <w:r>
        <w:rPr>
          <w:rFonts w:ascii="Times New Roman" w:hAnsi="Times New Roman"/>
          <w:sz w:val="24"/>
        </w:rPr>
        <w:t>·</w:t>
      </w:r>
      <w:r w:rsidRPr="00854161">
        <w:rPr>
          <w:rFonts w:ascii="Times New Roman" w:hAnsi="Times New Roman"/>
          <w:i/>
          <w:sz w:val="24"/>
        </w:rPr>
        <w:t>x</w:t>
      </w:r>
      <w:r>
        <w:rPr>
          <w:rFonts w:ascii="Times New Roman" w:hAnsi="Times New Roman"/>
          <w:sz w:val="24"/>
        </w:rPr>
        <w:t xml:space="preserve"> + </w:t>
      </w:r>
      <w:r w:rsidRPr="00854161">
        <w:rPr>
          <w:rFonts w:ascii="Times New Roman" w:hAnsi="Times New Roman"/>
          <w:i/>
          <w:sz w:val="24"/>
        </w:rPr>
        <w:t>β</w:t>
      </w:r>
      <w:r w:rsidRPr="00EC1B08">
        <w:rPr>
          <w:rFonts w:ascii="Times New Roman" w:hAnsi="Times New Roman"/>
          <w:sz w:val="24"/>
          <w:vertAlign w:val="subscript"/>
        </w:rPr>
        <w:t>2</w:t>
      </w:r>
      <w:r>
        <w:rPr>
          <w:rFonts w:ascii="Times New Roman" w:hAnsi="Times New Roman"/>
          <w:sz w:val="24"/>
        </w:rPr>
        <w:t>·</w:t>
      </w:r>
      <w:proofErr w:type="gramStart"/>
      <w:r w:rsidRPr="00854161">
        <w:rPr>
          <w:rFonts w:ascii="Times New Roman" w:hAnsi="Times New Roman"/>
          <w:i/>
          <w:sz w:val="24"/>
        </w:rPr>
        <w:t>d</w:t>
      </w:r>
      <w:r>
        <w:rPr>
          <w:rFonts w:ascii="Times New Roman" w:hAnsi="Times New Roman"/>
          <w:sz w:val="24"/>
        </w:rPr>
        <w:t>,</w:t>
      </w:r>
      <w:proofErr w:type="gramEnd"/>
      <w:r>
        <w:rPr>
          <w:rFonts w:ascii="Times New Roman" w:hAnsi="Times New Roman"/>
          <w:sz w:val="24"/>
        </w:rPr>
        <w:t xml:space="preserve"> and </w:t>
      </w:r>
      <w:r w:rsidRPr="00EC1B08">
        <w:rPr>
          <w:rFonts w:ascii="Times New Roman" w:hAnsi="Times New Roman"/>
          <w:i/>
          <w:sz w:val="24"/>
        </w:rPr>
        <w:t>y</w:t>
      </w:r>
      <w:r>
        <w:rPr>
          <w:rFonts w:ascii="Times New Roman" w:hAnsi="Times New Roman"/>
          <w:sz w:val="24"/>
        </w:rPr>
        <w:t xml:space="preserve"> = </w:t>
      </w:r>
      <w:r w:rsidRPr="00854161">
        <w:rPr>
          <w:rFonts w:ascii="Times New Roman" w:hAnsi="Times New Roman"/>
          <w:i/>
          <w:sz w:val="24"/>
        </w:rPr>
        <w:t>β</w:t>
      </w:r>
      <w:r w:rsidRPr="00EC1B08">
        <w:rPr>
          <w:rFonts w:ascii="Times New Roman" w:hAnsi="Times New Roman"/>
          <w:sz w:val="24"/>
          <w:vertAlign w:val="subscript"/>
        </w:rPr>
        <w:t>0</w:t>
      </w:r>
      <w:r>
        <w:rPr>
          <w:rFonts w:ascii="Times New Roman" w:hAnsi="Times New Roman"/>
          <w:sz w:val="24"/>
          <w:vertAlign w:val="subscript"/>
        </w:rPr>
        <w:t xml:space="preserve"> </w:t>
      </w:r>
      <w:r w:rsidRPr="00451A46">
        <w:rPr>
          <w:rFonts w:ascii="Times New Roman" w:hAnsi="Times New Roman"/>
          <w:sz w:val="24"/>
        </w:rPr>
        <w:t>+</w:t>
      </w:r>
      <w:r>
        <w:rPr>
          <w:rFonts w:ascii="Times New Roman" w:hAnsi="Times New Roman"/>
          <w:sz w:val="24"/>
          <w:vertAlign w:val="subscript"/>
        </w:rPr>
        <w:t xml:space="preserve"> </w:t>
      </w:r>
      <w:r w:rsidRPr="00854161">
        <w:rPr>
          <w:rFonts w:ascii="Times New Roman" w:hAnsi="Times New Roman"/>
          <w:i/>
          <w:sz w:val="24"/>
        </w:rPr>
        <w:t>β</w:t>
      </w:r>
      <w:r w:rsidRPr="00EC1B08">
        <w:rPr>
          <w:rFonts w:ascii="Times New Roman" w:hAnsi="Times New Roman"/>
          <w:sz w:val="24"/>
          <w:vertAlign w:val="subscript"/>
        </w:rPr>
        <w:t>1</w:t>
      </w:r>
      <w:r>
        <w:rPr>
          <w:rFonts w:ascii="Times New Roman" w:hAnsi="Times New Roman"/>
          <w:sz w:val="24"/>
        </w:rPr>
        <w:t>·</w:t>
      </w:r>
      <w:r w:rsidRPr="00EC1B08">
        <w:rPr>
          <w:rFonts w:ascii="Times New Roman" w:hAnsi="Times New Roman"/>
          <w:i/>
          <w:sz w:val="24"/>
        </w:rPr>
        <w:t>x</w:t>
      </w:r>
      <w:r>
        <w:rPr>
          <w:rFonts w:ascii="Times New Roman" w:hAnsi="Times New Roman"/>
          <w:sz w:val="24"/>
        </w:rPr>
        <w:t xml:space="preserve"> + </w:t>
      </w:r>
      <w:r w:rsidRPr="00854161">
        <w:rPr>
          <w:rFonts w:ascii="Times New Roman" w:hAnsi="Times New Roman"/>
          <w:i/>
          <w:sz w:val="24"/>
        </w:rPr>
        <w:t>β</w:t>
      </w:r>
      <w:r w:rsidRPr="00EC1B08">
        <w:rPr>
          <w:rFonts w:ascii="Times New Roman" w:hAnsi="Times New Roman"/>
          <w:sz w:val="24"/>
          <w:vertAlign w:val="subscript"/>
        </w:rPr>
        <w:t>2</w:t>
      </w:r>
      <w:r>
        <w:rPr>
          <w:rFonts w:ascii="Times New Roman" w:hAnsi="Times New Roman"/>
          <w:sz w:val="24"/>
        </w:rPr>
        <w:t>·</w:t>
      </w:r>
      <w:r w:rsidRPr="00EC1B08">
        <w:rPr>
          <w:rFonts w:ascii="Times New Roman" w:hAnsi="Times New Roman"/>
          <w:i/>
          <w:sz w:val="24"/>
        </w:rPr>
        <w:t>d</w:t>
      </w:r>
      <w:r>
        <w:rPr>
          <w:rFonts w:ascii="Times New Roman" w:hAnsi="Times New Roman"/>
          <w:sz w:val="24"/>
        </w:rPr>
        <w:t xml:space="preserve"> + </w:t>
      </w:r>
      <w:r w:rsidRPr="00854161">
        <w:rPr>
          <w:rFonts w:ascii="Times New Roman" w:hAnsi="Times New Roman"/>
          <w:i/>
          <w:sz w:val="24"/>
        </w:rPr>
        <w:t>β</w:t>
      </w:r>
      <w:r w:rsidRPr="00EC1B08">
        <w:rPr>
          <w:rFonts w:ascii="Times New Roman" w:hAnsi="Times New Roman"/>
          <w:sz w:val="24"/>
          <w:vertAlign w:val="subscript"/>
        </w:rPr>
        <w:t>3</w:t>
      </w:r>
      <w:r>
        <w:rPr>
          <w:rFonts w:ascii="Times New Roman" w:hAnsi="Times New Roman"/>
          <w:sz w:val="24"/>
        </w:rPr>
        <w:t>·</w:t>
      </w:r>
      <w:r w:rsidRPr="00854161">
        <w:rPr>
          <w:rFonts w:ascii="Times New Roman" w:hAnsi="Times New Roman"/>
          <w:i/>
          <w:sz w:val="24"/>
        </w:rPr>
        <w:t>x</w:t>
      </w:r>
      <w:r>
        <w:rPr>
          <w:rFonts w:ascii="Times New Roman" w:hAnsi="Times New Roman"/>
          <w:sz w:val="24"/>
        </w:rPr>
        <w:t>·</w:t>
      </w:r>
      <w:r w:rsidRPr="00854161">
        <w:rPr>
          <w:rFonts w:ascii="Times New Roman" w:hAnsi="Times New Roman"/>
          <w:i/>
          <w:sz w:val="24"/>
        </w:rPr>
        <w:t>d</w:t>
      </w:r>
      <w:r>
        <w:rPr>
          <w:rFonts w:ascii="Times New Roman" w:hAnsi="Times New Roman"/>
          <w:sz w:val="24"/>
        </w:rPr>
        <w:t>. Among the models for which the coefficient of the PCA axis (</w:t>
      </w:r>
      <w:r w:rsidRPr="00854161">
        <w:rPr>
          <w:rFonts w:ascii="Times New Roman" w:hAnsi="Times New Roman"/>
          <w:i/>
          <w:sz w:val="24"/>
        </w:rPr>
        <w:t>β</w:t>
      </w:r>
      <w:r w:rsidRPr="00854161">
        <w:rPr>
          <w:rFonts w:ascii="Times New Roman" w:hAnsi="Times New Roman"/>
          <w:i/>
          <w:sz w:val="24"/>
          <w:vertAlign w:val="subscript"/>
        </w:rPr>
        <w:t>1</w:t>
      </w:r>
      <w:r>
        <w:rPr>
          <w:rFonts w:ascii="Times New Roman" w:hAnsi="Times New Roman"/>
          <w:sz w:val="24"/>
        </w:rPr>
        <w:t>) was significantly (</w:t>
      </w:r>
      <w:r>
        <w:rPr>
          <w:rFonts w:ascii="Times New Roman" w:hAnsi="Times New Roman"/>
          <w:i/>
          <w:sz w:val="24"/>
        </w:rPr>
        <w:t>p</w:t>
      </w:r>
      <w:r>
        <w:rPr>
          <w:rFonts w:ascii="Times New Roman" w:hAnsi="Times New Roman"/>
          <w:sz w:val="24"/>
        </w:rPr>
        <w:t xml:space="preserve"> &lt;0.05) different from zero, we chose the best model based on AIC.</w:t>
      </w:r>
    </w:p>
    <w:p w:rsidR="004F290F" w:rsidRDefault="004F290F" w:rsidP="004F290F">
      <w:pPr>
        <w:spacing w:after="100" w:afterAutospacing="1" w:line="480" w:lineRule="auto"/>
        <w:rPr>
          <w:rFonts w:ascii="Times New Roman" w:hAnsi="Times New Roman"/>
          <w:sz w:val="24"/>
        </w:rPr>
      </w:pPr>
    </w:p>
    <w:p w:rsidR="004F290F" w:rsidRDefault="004F290F" w:rsidP="004F290F">
      <w:pPr>
        <w:spacing w:after="100" w:afterAutospacing="1" w:line="480" w:lineRule="auto"/>
        <w:rPr>
          <w:rFonts w:ascii="Times New Roman" w:hAnsi="Times New Roman"/>
          <w:sz w:val="24"/>
        </w:rPr>
      </w:pPr>
      <w:r>
        <w:rPr>
          <w:rFonts w:ascii="Times New Roman" w:hAnsi="Times New Roman"/>
          <w:sz w:val="24"/>
        </w:rPr>
        <w:t>When only N-limited plots were considered, contributions of soil N measures to plant trait variation tended to increase</w:t>
      </w:r>
      <w:r w:rsidRPr="0019296B">
        <w:rPr>
          <w:rFonts w:ascii="Times New Roman" w:hAnsi="Times New Roman"/>
          <w:sz w:val="24"/>
        </w:rPr>
        <w:t xml:space="preserve"> </w:t>
      </w:r>
      <w:r>
        <w:rPr>
          <w:rFonts w:ascii="Times New Roman" w:hAnsi="Times New Roman"/>
          <w:sz w:val="24"/>
        </w:rPr>
        <w:t>slightly (Fig. S3 left), but other major trends (e.g. stronger effect of soil P on WPC than that of soil N (</w:t>
      </w:r>
      <w:r>
        <w:rPr>
          <w:rFonts w:ascii="Times New Roman" w:hAnsi="Times New Roman"/>
          <w:i/>
          <w:sz w:val="24"/>
        </w:rPr>
        <w:t>p</w:t>
      </w:r>
      <w:r>
        <w:rPr>
          <w:rFonts w:ascii="Times New Roman" w:hAnsi="Times New Roman"/>
          <w:sz w:val="24"/>
        </w:rPr>
        <w:t xml:space="preserve"> =0.094), small shared effects on CSR strategy) remained. </w:t>
      </w:r>
      <w:proofErr w:type="gramStart"/>
      <w:r>
        <w:rPr>
          <w:rFonts w:ascii="Times New Roman" w:hAnsi="Times New Roman"/>
          <w:sz w:val="24"/>
        </w:rPr>
        <w:t>When only P-limited plots were considered (Fig.</w:t>
      </w:r>
      <w:proofErr w:type="gramEnd"/>
      <w:r>
        <w:rPr>
          <w:rFonts w:ascii="Times New Roman" w:hAnsi="Times New Roman"/>
          <w:sz w:val="24"/>
        </w:rPr>
        <w:t xml:space="preserve"> S3 right), the contributions of soil P remained mostly unchanged, or even decreased for some traits. Here the major trends also remained. It is particularly notable that the stronger determinant for stress-</w:t>
      </w:r>
      <w:proofErr w:type="spellStart"/>
      <w:r>
        <w:rPr>
          <w:rFonts w:ascii="Times New Roman" w:hAnsi="Times New Roman"/>
          <w:sz w:val="24"/>
        </w:rPr>
        <w:t>tolerators</w:t>
      </w:r>
      <w:proofErr w:type="spellEnd"/>
      <w:r>
        <w:rPr>
          <w:rFonts w:ascii="Times New Roman" w:hAnsi="Times New Roman"/>
          <w:sz w:val="24"/>
        </w:rPr>
        <w:t xml:space="preserve"> were N-</w:t>
      </w:r>
      <w:r>
        <w:rPr>
          <w:rFonts w:ascii="Times New Roman" w:hAnsi="Times New Roman"/>
          <w:sz w:val="24"/>
        </w:rPr>
        <w:lastRenderedPageBreak/>
        <w:t>related fertility measures in N-limited plots (</w:t>
      </w:r>
      <w:r>
        <w:rPr>
          <w:rFonts w:ascii="Times New Roman" w:hAnsi="Times New Roman"/>
          <w:i/>
          <w:sz w:val="24"/>
        </w:rPr>
        <w:t>p</w:t>
      </w:r>
      <w:r>
        <w:rPr>
          <w:rFonts w:ascii="Times New Roman" w:hAnsi="Times New Roman"/>
          <w:sz w:val="24"/>
        </w:rPr>
        <w:t xml:space="preserve"> &lt;0.05) and P-related fertility measures in P-limited plots (</w:t>
      </w:r>
      <w:r>
        <w:rPr>
          <w:rFonts w:ascii="Times New Roman" w:hAnsi="Times New Roman"/>
          <w:i/>
          <w:sz w:val="24"/>
        </w:rPr>
        <w:t>p</w:t>
      </w:r>
      <w:r>
        <w:rPr>
          <w:rFonts w:ascii="Times New Roman" w:hAnsi="Times New Roman"/>
          <w:sz w:val="24"/>
        </w:rPr>
        <w:t xml:space="preserve"> =0.079)</w:t>
      </w:r>
      <w:r w:rsidRPr="00BA7CFE">
        <w:rPr>
          <w:rFonts w:ascii="Times New Roman" w:hAnsi="Times New Roman"/>
          <w:sz w:val="24"/>
        </w:rPr>
        <w:t xml:space="preserve"> </w:t>
      </w:r>
      <w:r>
        <w:rPr>
          <w:rFonts w:ascii="Times New Roman" w:hAnsi="Times New Roman"/>
          <w:sz w:val="24"/>
        </w:rPr>
        <w:t>(Fig. S3). Furthermore, signs of correlations between soil N measures and integrative plant traits (</w:t>
      </w:r>
      <w:proofErr w:type="spellStart"/>
      <w:r>
        <w:rPr>
          <w:rFonts w:ascii="Times New Roman" w:hAnsi="Times New Roman"/>
          <w:sz w:val="24"/>
        </w:rPr>
        <w:t>IV</w:t>
      </w:r>
      <w:r w:rsidRPr="00CC4558">
        <w:rPr>
          <w:rFonts w:ascii="Times New Roman" w:hAnsi="Times New Roman"/>
          <w:sz w:val="24"/>
          <w:vertAlign w:val="subscript"/>
        </w:rPr>
        <w:t>nut</w:t>
      </w:r>
      <w:proofErr w:type="spellEnd"/>
      <w:r>
        <w:rPr>
          <w:rFonts w:ascii="Times New Roman" w:hAnsi="Times New Roman"/>
          <w:sz w:val="24"/>
        </w:rPr>
        <w:t>, CSR-strategy) reversed in P-limited plots compared to N-limited plots (e.g. stress-</w:t>
      </w:r>
      <w:proofErr w:type="spellStart"/>
      <w:r>
        <w:rPr>
          <w:rFonts w:ascii="Times New Roman" w:hAnsi="Times New Roman"/>
          <w:sz w:val="24"/>
        </w:rPr>
        <w:t>tolerator</w:t>
      </w:r>
      <w:proofErr w:type="spellEnd"/>
      <w:r>
        <w:rPr>
          <w:rFonts w:ascii="Times New Roman" w:hAnsi="Times New Roman"/>
          <w:sz w:val="24"/>
        </w:rPr>
        <w:t xml:space="preserve"> increased as soil N availability increased in P-limited plots only; see Table S4 in comparison to Table S5). </w:t>
      </w:r>
    </w:p>
    <w:p w:rsidR="004F290F" w:rsidRPr="004F290F" w:rsidRDefault="004F290F" w:rsidP="004F290F">
      <w:pPr>
        <w:spacing w:after="100" w:afterAutospacing="1" w:line="480" w:lineRule="auto"/>
        <w:rPr>
          <w:rFonts w:ascii="Times New Roman" w:hAnsi="Times New Roman"/>
          <w:sz w:val="24"/>
        </w:rPr>
      </w:pPr>
      <w:r>
        <w:rPr>
          <w:rFonts w:ascii="Times New Roman" w:hAnsi="Times New Roman"/>
          <w:sz w:val="24"/>
        </w:rPr>
        <w:t xml:space="preserve">By including the type of nutrient limitation as a dummy variable, the effects of PCA axis 1 were modulated for WNC, WPC, </w:t>
      </w:r>
      <w:proofErr w:type="spellStart"/>
      <w:r>
        <w:rPr>
          <w:rFonts w:ascii="Times New Roman" w:hAnsi="Times New Roman"/>
          <w:sz w:val="24"/>
        </w:rPr>
        <w:t>IV</w:t>
      </w:r>
      <w:r w:rsidRPr="00E220E8">
        <w:rPr>
          <w:rFonts w:ascii="Times New Roman" w:hAnsi="Times New Roman"/>
          <w:sz w:val="24"/>
          <w:vertAlign w:val="subscript"/>
        </w:rPr>
        <w:t>nut</w:t>
      </w:r>
      <w:proofErr w:type="spellEnd"/>
      <w:r>
        <w:rPr>
          <w:rFonts w:ascii="Times New Roman" w:hAnsi="Times New Roman"/>
          <w:sz w:val="24"/>
        </w:rPr>
        <w:t xml:space="preserve">, and R component, whereas those of PCA axis 2 were modulated for WPC, S component and R component (Fig. S4).   </w:t>
      </w:r>
    </w:p>
    <w:p w:rsidR="004F290F" w:rsidRDefault="004F290F" w:rsidP="004F290F">
      <w:pPr>
        <w:spacing w:after="100" w:afterAutospacing="1" w:line="480" w:lineRule="auto"/>
        <w:rPr>
          <w:rFonts w:ascii="Times New Roman" w:hAnsi="Times New Roman"/>
          <w:b/>
          <w:sz w:val="24"/>
        </w:rPr>
      </w:pPr>
    </w:p>
    <w:p w:rsidR="004F290F" w:rsidRDefault="004F290F" w:rsidP="004F290F">
      <w:pPr>
        <w:spacing w:after="100" w:afterAutospacing="1" w:line="480" w:lineRule="auto"/>
        <w:rPr>
          <w:rFonts w:ascii="Times New Roman" w:hAnsi="Times New Roman"/>
          <w:sz w:val="24"/>
        </w:rPr>
      </w:pPr>
      <w:r>
        <w:rPr>
          <w:rFonts w:ascii="Times New Roman" w:hAnsi="Times New Roman"/>
          <w:b/>
          <w:sz w:val="24"/>
        </w:rPr>
        <w:t>Figure S3. Variation partitioning in N- and P-limited ecosystems</w:t>
      </w:r>
      <w:r>
        <w:rPr>
          <w:rFonts w:ascii="Times New Roman" w:hAnsi="Times New Roman"/>
          <w:b/>
          <w:sz w:val="24"/>
        </w:rPr>
        <w:br/>
      </w:r>
      <w:r>
        <w:rPr>
          <w:rFonts w:ascii="Times New Roman" w:hAnsi="Times New Roman"/>
          <w:sz w:val="24"/>
        </w:rPr>
        <w:t>Variation partitioning (in percentage of variance) of among-site plant traits into unique effects of soil N measures (dark grey), unique effects of soil P measures (white), and shared effects of both (light grey) for N-limited (left) and P-limited (right) plots. Examined plant traits are A: log LNC (mg/g) (</w:t>
      </w:r>
      <w:r w:rsidRPr="00741BF9">
        <w:rPr>
          <w:rFonts w:ascii="Times New Roman" w:hAnsi="Times New Roman"/>
          <w:i/>
          <w:sz w:val="24"/>
        </w:rPr>
        <w:t>n=</w:t>
      </w:r>
      <w:r>
        <w:rPr>
          <w:rFonts w:ascii="Times New Roman" w:hAnsi="Times New Roman"/>
          <w:sz w:val="24"/>
        </w:rPr>
        <w:t xml:space="preserve">10 for N-limited and </w:t>
      </w:r>
      <w:r w:rsidRPr="00741BF9">
        <w:rPr>
          <w:rFonts w:ascii="Times New Roman" w:hAnsi="Times New Roman"/>
          <w:i/>
          <w:sz w:val="24"/>
        </w:rPr>
        <w:t>n=</w:t>
      </w:r>
      <w:r>
        <w:rPr>
          <w:rFonts w:ascii="Times New Roman" w:hAnsi="Times New Roman"/>
          <w:sz w:val="24"/>
        </w:rPr>
        <w:t>41 for P-limited), B: log WNC (mg/g) (</w:t>
      </w:r>
      <w:r w:rsidRPr="00741BF9">
        <w:rPr>
          <w:rFonts w:ascii="Times New Roman" w:hAnsi="Times New Roman"/>
          <w:i/>
          <w:sz w:val="24"/>
        </w:rPr>
        <w:t>n=</w:t>
      </w:r>
      <w:r>
        <w:rPr>
          <w:rFonts w:ascii="Times New Roman" w:hAnsi="Times New Roman"/>
          <w:sz w:val="24"/>
        </w:rPr>
        <w:t xml:space="preserve">10 and </w:t>
      </w:r>
      <w:r w:rsidRPr="00741BF9">
        <w:rPr>
          <w:rFonts w:ascii="Times New Roman" w:hAnsi="Times New Roman"/>
          <w:i/>
          <w:sz w:val="24"/>
        </w:rPr>
        <w:t>n=</w:t>
      </w:r>
      <w:r>
        <w:rPr>
          <w:rFonts w:ascii="Times New Roman" w:hAnsi="Times New Roman"/>
          <w:sz w:val="24"/>
        </w:rPr>
        <w:t>41), C: log LPC (mg/g) (</w:t>
      </w:r>
      <w:r w:rsidRPr="00741BF9">
        <w:rPr>
          <w:rFonts w:ascii="Times New Roman" w:hAnsi="Times New Roman"/>
          <w:i/>
          <w:sz w:val="24"/>
        </w:rPr>
        <w:t>n=</w:t>
      </w:r>
      <w:r>
        <w:rPr>
          <w:rFonts w:ascii="Times New Roman" w:hAnsi="Times New Roman"/>
          <w:sz w:val="24"/>
        </w:rPr>
        <w:t xml:space="preserve">59 and </w:t>
      </w:r>
      <w:r w:rsidRPr="00741BF9">
        <w:rPr>
          <w:rFonts w:ascii="Times New Roman" w:hAnsi="Times New Roman"/>
          <w:i/>
          <w:sz w:val="24"/>
        </w:rPr>
        <w:t>n=</w:t>
      </w:r>
      <w:r>
        <w:rPr>
          <w:rFonts w:ascii="Times New Roman" w:hAnsi="Times New Roman"/>
          <w:sz w:val="24"/>
        </w:rPr>
        <w:t>23), D: log WPC (mg/g) (</w:t>
      </w:r>
      <w:r w:rsidRPr="00741BF9">
        <w:rPr>
          <w:rFonts w:ascii="Times New Roman" w:hAnsi="Times New Roman"/>
          <w:i/>
          <w:sz w:val="24"/>
        </w:rPr>
        <w:t>n=</w:t>
      </w:r>
      <w:r>
        <w:rPr>
          <w:rFonts w:ascii="Times New Roman" w:hAnsi="Times New Roman"/>
          <w:sz w:val="24"/>
        </w:rPr>
        <w:t xml:space="preserve">59 and </w:t>
      </w:r>
      <w:r w:rsidRPr="00741BF9">
        <w:rPr>
          <w:rFonts w:ascii="Times New Roman" w:hAnsi="Times New Roman"/>
          <w:i/>
          <w:sz w:val="24"/>
        </w:rPr>
        <w:t>n=</w:t>
      </w:r>
      <w:r>
        <w:rPr>
          <w:rFonts w:ascii="Times New Roman" w:hAnsi="Times New Roman"/>
          <w:sz w:val="24"/>
        </w:rPr>
        <w:t xml:space="preserve">23), E: </w:t>
      </w:r>
      <w:proofErr w:type="spellStart"/>
      <w:r>
        <w:rPr>
          <w:rFonts w:ascii="Times New Roman" w:hAnsi="Times New Roman"/>
          <w:sz w:val="24"/>
        </w:rPr>
        <w:t>IV</w:t>
      </w:r>
      <w:r>
        <w:rPr>
          <w:rFonts w:ascii="Times New Roman" w:hAnsi="Times New Roman"/>
          <w:sz w:val="24"/>
          <w:vertAlign w:val="subscript"/>
        </w:rPr>
        <w:t>nut</w:t>
      </w:r>
      <w:proofErr w:type="spellEnd"/>
      <w:r>
        <w:rPr>
          <w:rFonts w:ascii="Times New Roman" w:hAnsi="Times New Roman"/>
          <w:sz w:val="24"/>
          <w:vertAlign w:val="subscript"/>
        </w:rPr>
        <w:t xml:space="preserve"> </w:t>
      </w:r>
      <w:r>
        <w:rPr>
          <w:rFonts w:ascii="Times New Roman" w:hAnsi="Times New Roman"/>
          <w:sz w:val="24"/>
        </w:rPr>
        <w:t>(</w:t>
      </w:r>
      <w:r w:rsidRPr="00741BF9">
        <w:rPr>
          <w:rFonts w:ascii="Times New Roman" w:hAnsi="Times New Roman"/>
          <w:i/>
          <w:sz w:val="24"/>
        </w:rPr>
        <w:t>n=</w:t>
      </w:r>
      <w:r>
        <w:rPr>
          <w:rFonts w:ascii="Times New Roman" w:hAnsi="Times New Roman"/>
          <w:sz w:val="24"/>
        </w:rPr>
        <w:t xml:space="preserve">69 and </w:t>
      </w:r>
      <w:r w:rsidRPr="00741BF9">
        <w:rPr>
          <w:rFonts w:ascii="Times New Roman" w:hAnsi="Times New Roman"/>
          <w:i/>
          <w:sz w:val="24"/>
        </w:rPr>
        <w:t>n=</w:t>
      </w:r>
      <w:r>
        <w:rPr>
          <w:rFonts w:ascii="Times New Roman" w:hAnsi="Times New Roman"/>
          <w:sz w:val="24"/>
        </w:rPr>
        <w:t>64), F: C component (</w:t>
      </w:r>
      <w:r w:rsidRPr="00741BF9">
        <w:rPr>
          <w:rFonts w:ascii="Times New Roman" w:hAnsi="Times New Roman"/>
          <w:i/>
          <w:sz w:val="24"/>
        </w:rPr>
        <w:t>n=</w:t>
      </w:r>
      <w:r>
        <w:rPr>
          <w:rFonts w:ascii="Times New Roman" w:hAnsi="Times New Roman"/>
          <w:sz w:val="24"/>
        </w:rPr>
        <w:t xml:space="preserve">69 and </w:t>
      </w:r>
      <w:r w:rsidRPr="00741BF9">
        <w:rPr>
          <w:rFonts w:ascii="Times New Roman" w:hAnsi="Times New Roman"/>
          <w:i/>
          <w:sz w:val="24"/>
        </w:rPr>
        <w:t>n=</w:t>
      </w:r>
      <w:r>
        <w:rPr>
          <w:rFonts w:ascii="Times New Roman" w:hAnsi="Times New Roman"/>
          <w:sz w:val="24"/>
        </w:rPr>
        <w:t>64), G: S component (</w:t>
      </w:r>
      <w:r w:rsidRPr="00741BF9">
        <w:rPr>
          <w:rFonts w:ascii="Times New Roman" w:hAnsi="Times New Roman"/>
          <w:i/>
          <w:sz w:val="24"/>
        </w:rPr>
        <w:t>n=</w:t>
      </w:r>
      <w:r>
        <w:rPr>
          <w:rFonts w:ascii="Times New Roman" w:hAnsi="Times New Roman"/>
          <w:sz w:val="24"/>
        </w:rPr>
        <w:t xml:space="preserve">69 and </w:t>
      </w:r>
      <w:r w:rsidRPr="00741BF9">
        <w:rPr>
          <w:rFonts w:ascii="Times New Roman" w:hAnsi="Times New Roman"/>
          <w:i/>
          <w:sz w:val="24"/>
        </w:rPr>
        <w:t>n=</w:t>
      </w:r>
      <w:r>
        <w:rPr>
          <w:rFonts w:ascii="Times New Roman" w:hAnsi="Times New Roman"/>
          <w:sz w:val="24"/>
        </w:rPr>
        <w:t>64), and H: R component (</w:t>
      </w:r>
      <w:r w:rsidRPr="00741BF9">
        <w:rPr>
          <w:rFonts w:ascii="Times New Roman" w:hAnsi="Times New Roman"/>
          <w:i/>
          <w:sz w:val="24"/>
        </w:rPr>
        <w:t>n=</w:t>
      </w:r>
      <w:r>
        <w:rPr>
          <w:rFonts w:ascii="Times New Roman" w:hAnsi="Times New Roman"/>
          <w:sz w:val="24"/>
        </w:rPr>
        <w:t xml:space="preserve">69 and </w:t>
      </w:r>
      <w:r w:rsidRPr="00741BF9">
        <w:rPr>
          <w:rFonts w:ascii="Times New Roman" w:hAnsi="Times New Roman"/>
          <w:i/>
          <w:sz w:val="24"/>
        </w:rPr>
        <w:t>n=</w:t>
      </w:r>
      <w:r>
        <w:rPr>
          <w:rFonts w:ascii="Times New Roman" w:hAnsi="Times New Roman"/>
          <w:sz w:val="24"/>
        </w:rPr>
        <w:t>64). Results for LNC and LPC for N-limited ecosystems are not shown because they have too few samples (</w:t>
      </w:r>
      <w:r w:rsidRPr="00741BF9">
        <w:rPr>
          <w:rFonts w:ascii="Times New Roman" w:hAnsi="Times New Roman"/>
          <w:i/>
          <w:sz w:val="24"/>
        </w:rPr>
        <w:t>n=</w:t>
      </w:r>
      <w:r>
        <w:rPr>
          <w:rFonts w:ascii="Times New Roman" w:hAnsi="Times New Roman"/>
          <w:sz w:val="24"/>
        </w:rPr>
        <w:t>10). When contribution of N or P measures to total explained variance is significantly larger than the other, asterisks are given (</w:t>
      </w:r>
      <w:r w:rsidRPr="00525070">
        <w:rPr>
          <w:rFonts w:ascii="Times New Roman" w:hAnsi="Times New Roman"/>
          <w:sz w:val="24"/>
          <w:vertAlign w:val="superscript"/>
        </w:rPr>
        <w:t>*</w:t>
      </w:r>
      <w:r>
        <w:rPr>
          <w:rFonts w:ascii="Times New Roman" w:hAnsi="Times New Roman"/>
          <w:sz w:val="24"/>
        </w:rPr>
        <w:t xml:space="preserve">: </w:t>
      </w:r>
      <w:r w:rsidRPr="00643882">
        <w:rPr>
          <w:rFonts w:ascii="Times New Roman" w:hAnsi="Times New Roman"/>
          <w:i/>
          <w:sz w:val="24"/>
        </w:rPr>
        <w:t>p</w:t>
      </w:r>
      <w:r>
        <w:rPr>
          <w:rFonts w:ascii="Times New Roman" w:hAnsi="Times New Roman"/>
          <w:sz w:val="24"/>
        </w:rPr>
        <w:t>&lt;0.05).</w:t>
      </w:r>
    </w:p>
    <w:p w:rsidR="004F290F" w:rsidRPr="00CF5881" w:rsidRDefault="004F290F" w:rsidP="004F290F">
      <w:pPr>
        <w:spacing w:after="100" w:afterAutospacing="1" w:line="480" w:lineRule="auto"/>
        <w:rPr>
          <w:rFonts w:ascii="Times New Roman" w:hAnsi="Times New Roman"/>
          <w:sz w:val="24"/>
        </w:rPr>
      </w:pPr>
      <w:r>
        <w:rPr>
          <w:rFonts w:ascii="Times New Roman" w:hAnsi="Times New Roman"/>
          <w:noProof/>
          <w:sz w:val="24"/>
          <w:lang w:val="nl-NL"/>
        </w:rPr>
        <w:lastRenderedPageBreak/>
        <w:drawing>
          <wp:inline distT="0" distB="0" distL="0" distR="0" wp14:anchorId="5DC9ADD8" wp14:editId="1D1F3234">
            <wp:extent cx="3409950" cy="49911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4991100"/>
                    </a:xfrm>
                    <a:prstGeom prst="rect">
                      <a:avLst/>
                    </a:prstGeom>
                    <a:noFill/>
                    <a:ln>
                      <a:noFill/>
                    </a:ln>
                  </pic:spPr>
                </pic:pic>
              </a:graphicData>
            </a:graphic>
          </wp:inline>
        </w:drawing>
      </w:r>
    </w:p>
    <w:p w:rsidR="004F290F" w:rsidRDefault="004F290F" w:rsidP="004F290F">
      <w:pPr>
        <w:spacing w:after="100" w:afterAutospacing="1" w:line="480" w:lineRule="auto"/>
        <w:rPr>
          <w:rFonts w:ascii="Times New Roman" w:hAnsi="Times New Roman"/>
          <w:b/>
          <w:sz w:val="24"/>
        </w:rPr>
      </w:pPr>
    </w:p>
    <w:p w:rsidR="004F290F" w:rsidRDefault="004F290F" w:rsidP="004F290F">
      <w:pPr>
        <w:spacing w:after="100" w:afterAutospacing="1" w:line="480" w:lineRule="auto"/>
        <w:rPr>
          <w:rFonts w:ascii="Times New Roman" w:hAnsi="Times New Roman"/>
          <w:szCs w:val="20"/>
        </w:rPr>
      </w:pPr>
      <w:r>
        <w:rPr>
          <w:rFonts w:ascii="Times New Roman" w:hAnsi="Times New Roman"/>
          <w:b/>
          <w:sz w:val="24"/>
        </w:rPr>
        <w:br w:type="page"/>
      </w:r>
      <w:r>
        <w:rPr>
          <w:rFonts w:ascii="Times New Roman" w:hAnsi="Times New Roman"/>
          <w:b/>
          <w:sz w:val="24"/>
        </w:rPr>
        <w:lastRenderedPageBreak/>
        <w:t xml:space="preserve">Table S4. </w:t>
      </w:r>
      <w:proofErr w:type="gramStart"/>
      <w:r w:rsidRPr="00CB1503">
        <w:rPr>
          <w:rFonts w:ascii="Times New Roman" w:hAnsi="Times New Roman"/>
          <w:sz w:val="24"/>
        </w:rPr>
        <w:t xml:space="preserve">Correlations between </w:t>
      </w:r>
      <w:r>
        <w:rPr>
          <w:rFonts w:ascii="Times New Roman" w:hAnsi="Times New Roman"/>
          <w:sz w:val="24"/>
        </w:rPr>
        <w:t xml:space="preserve">plot-mean </w:t>
      </w:r>
      <w:r w:rsidRPr="00CB1503">
        <w:rPr>
          <w:rFonts w:ascii="Times New Roman" w:hAnsi="Times New Roman"/>
          <w:sz w:val="24"/>
        </w:rPr>
        <w:t xml:space="preserve">plant traits and soil fertility </w:t>
      </w:r>
      <w:r>
        <w:rPr>
          <w:rFonts w:ascii="Times New Roman" w:hAnsi="Times New Roman"/>
          <w:sz w:val="24"/>
        </w:rPr>
        <w:t>measures</w:t>
      </w:r>
      <w:r w:rsidRPr="00CB1503">
        <w:rPr>
          <w:rFonts w:ascii="Times New Roman" w:hAnsi="Times New Roman"/>
          <w:sz w:val="24"/>
        </w:rPr>
        <w:t xml:space="preserve"> in N-limited </w:t>
      </w:r>
      <w:r>
        <w:rPr>
          <w:rFonts w:ascii="Times New Roman" w:hAnsi="Times New Roman"/>
          <w:sz w:val="24"/>
        </w:rPr>
        <w:t>plots</w:t>
      </w:r>
      <w:r w:rsidRPr="00CB1503">
        <w:rPr>
          <w:rFonts w:ascii="Times New Roman" w:hAnsi="Times New Roman"/>
          <w:sz w:val="24"/>
        </w:rPr>
        <w:t>.</w:t>
      </w:r>
      <w:proofErr w:type="gramEnd"/>
      <w:r w:rsidRPr="00CB1503">
        <w:rPr>
          <w:rFonts w:ascii="Times New Roman" w:hAnsi="Times New Roman"/>
          <w:sz w:val="24"/>
        </w:rPr>
        <w:t xml:space="preserve"> Pearson’s correlation coefficient and </w:t>
      </w:r>
      <w:r w:rsidRPr="008433FF">
        <w:rPr>
          <w:rFonts w:ascii="Times New Roman" w:hAnsi="Times New Roman"/>
          <w:i/>
          <w:sz w:val="24"/>
        </w:rPr>
        <w:t>p</w:t>
      </w:r>
      <w:r w:rsidRPr="00CB1503">
        <w:rPr>
          <w:rFonts w:ascii="Times New Roman" w:hAnsi="Times New Roman"/>
          <w:sz w:val="24"/>
        </w:rPr>
        <w:t xml:space="preserve">-values are shown. All variables were log-transformed prior to the analysis except for </w:t>
      </w:r>
      <w:proofErr w:type="spellStart"/>
      <w:r w:rsidRPr="00CB1503">
        <w:rPr>
          <w:rFonts w:ascii="Times New Roman" w:hAnsi="Times New Roman"/>
          <w:sz w:val="24"/>
        </w:rPr>
        <w:t>IV</w:t>
      </w:r>
      <w:r w:rsidRPr="00D159D1">
        <w:rPr>
          <w:rFonts w:ascii="Times New Roman" w:hAnsi="Times New Roman"/>
          <w:sz w:val="24"/>
          <w:vertAlign w:val="subscript"/>
        </w:rPr>
        <w:t>nut</w:t>
      </w:r>
      <w:proofErr w:type="spellEnd"/>
      <w:r w:rsidRPr="00CB1503">
        <w:rPr>
          <w:rFonts w:ascii="Times New Roman" w:hAnsi="Times New Roman"/>
          <w:sz w:val="24"/>
        </w:rPr>
        <w:t>, C, S, and R.</w:t>
      </w:r>
      <w:r>
        <w:rPr>
          <w:rFonts w:ascii="Times New Roman" w:hAnsi="Times New Roman"/>
          <w:szCs w:val="20"/>
        </w:rPr>
        <w:t xml:space="preserve"> </w:t>
      </w:r>
    </w:p>
    <w:tbl>
      <w:tblPr>
        <w:tblW w:w="8352" w:type="dxa"/>
        <w:tblCellMar>
          <w:left w:w="0" w:type="dxa"/>
          <w:right w:w="0" w:type="dxa"/>
        </w:tblCellMar>
        <w:tblLook w:val="0000" w:firstRow="0" w:lastRow="0" w:firstColumn="0" w:lastColumn="0" w:noHBand="0" w:noVBand="0"/>
      </w:tblPr>
      <w:tblGrid>
        <w:gridCol w:w="1400"/>
        <w:gridCol w:w="867"/>
        <w:gridCol w:w="867"/>
        <w:gridCol w:w="868"/>
        <w:gridCol w:w="873"/>
        <w:gridCol w:w="868"/>
        <w:gridCol w:w="868"/>
        <w:gridCol w:w="873"/>
        <w:gridCol w:w="868"/>
      </w:tblGrid>
      <w:tr w:rsidR="004F290F" w:rsidRPr="00127615" w:rsidTr="00026793">
        <w:trPr>
          <w:trHeight w:val="345"/>
        </w:trPr>
        <w:tc>
          <w:tcPr>
            <w:tcW w:w="14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4F290F" w:rsidRPr="00127615" w:rsidRDefault="004F290F" w:rsidP="00026793">
            <w:pPr>
              <w:jc w:val="center"/>
              <w:rPr>
                <w:rFonts w:ascii="Arial" w:hAnsi="Arial" w:cs="Arial"/>
                <w:sz w:val="16"/>
                <w:szCs w:val="16"/>
              </w:rPr>
            </w:pPr>
            <w:r w:rsidRPr="00127615">
              <w:rPr>
                <w:rFonts w:ascii="Arial" w:hAnsi="Arial" w:cs="Arial"/>
                <w:sz w:val="16"/>
                <w:szCs w:val="16"/>
              </w:rPr>
              <w:t> </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LNC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WNC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LPC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WPC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roofErr w:type="spellStart"/>
            <w:r w:rsidRPr="00127615">
              <w:rPr>
                <w:rFonts w:ascii="Arial" w:hAnsi="Arial" w:cs="Arial"/>
                <w:sz w:val="16"/>
                <w:szCs w:val="16"/>
              </w:rPr>
              <w:t>IV</w:t>
            </w:r>
            <w:r w:rsidRPr="00127615">
              <w:rPr>
                <w:rFonts w:ascii="Arial" w:hAnsi="Arial" w:cs="Arial"/>
                <w:sz w:val="16"/>
                <w:szCs w:val="16"/>
                <w:vertAlign w:val="subscript"/>
              </w:rPr>
              <w:t>nut</w:t>
            </w:r>
            <w:proofErr w:type="spellEnd"/>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S</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R</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Dissolved N</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0.29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0.37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-0.36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-0.02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Summer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0.33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0.39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0.10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Annual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0.07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5yr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0.27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0.06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Soil N</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0.10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Soil N:C</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0.14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Dissolved P</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0.36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0.26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-0.33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-0.11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 xml:space="preserve">Annual </w:t>
            </w:r>
            <w:proofErr w:type="spellStart"/>
            <w:r w:rsidRPr="00127615">
              <w:rPr>
                <w:rFonts w:ascii="Arial" w:hAnsi="Arial" w:cs="Arial"/>
                <w:sz w:val="16"/>
                <w:szCs w:val="16"/>
              </w:rPr>
              <w:t>Pmin</w:t>
            </w:r>
            <w:proofErr w:type="spellEnd"/>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0.47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0.68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0.17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 xml:space="preserve">5yr </w:t>
            </w:r>
            <w:proofErr w:type="spellStart"/>
            <w:r w:rsidRPr="00127615">
              <w:rPr>
                <w:rFonts w:ascii="Arial" w:hAnsi="Arial" w:cs="Arial"/>
                <w:sz w:val="16"/>
                <w:szCs w:val="16"/>
              </w:rPr>
              <w:t>Pmin</w:t>
            </w:r>
            <w:proofErr w:type="spellEnd"/>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0.65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0.33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0.16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Soil P</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0.37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0.18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Soil P:C</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0.69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0.44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0.25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0.22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sidRPr="00127615">
              <w:rPr>
                <w:rFonts w:ascii="Arial" w:hAnsi="Arial" w:cs="Arial"/>
                <w:sz w:val="16"/>
                <w:szCs w:val="16"/>
              </w:rPr>
              <w:t>Soil N:P</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-0.68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-0.58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-0.30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-0.01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-0.19 ns</w:t>
            </w:r>
          </w:p>
        </w:tc>
      </w:tr>
      <w:tr w:rsidR="004F290F" w:rsidRPr="00127615"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p>
        </w:tc>
      </w:tr>
      <w:tr w:rsidR="004F290F" w:rsidRPr="00127615" w:rsidTr="0002679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4F290F" w:rsidRPr="00127615" w:rsidRDefault="004F290F" w:rsidP="00026793">
            <w:pPr>
              <w:rPr>
                <w:rFonts w:ascii="Arial" w:hAnsi="Arial" w:cs="Arial"/>
                <w:sz w:val="16"/>
                <w:szCs w:val="16"/>
              </w:rPr>
            </w:pPr>
            <w:r>
              <w:rPr>
                <w:rFonts w:ascii="Arial" w:hAnsi="Arial" w:cs="Arial"/>
                <w:sz w:val="16"/>
                <w:szCs w:val="16"/>
              </w:rPr>
              <w:t>N. of plots</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59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59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69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69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69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127615" w:rsidRDefault="004F290F" w:rsidP="00026793">
            <w:pPr>
              <w:jc w:val="center"/>
              <w:rPr>
                <w:rFonts w:ascii="Arial" w:hAnsi="Arial" w:cs="Arial"/>
                <w:sz w:val="16"/>
                <w:szCs w:val="16"/>
              </w:rPr>
            </w:pPr>
            <w:r w:rsidRPr="00127615">
              <w:rPr>
                <w:rFonts w:ascii="Arial" w:hAnsi="Arial" w:cs="Arial"/>
                <w:sz w:val="16"/>
                <w:szCs w:val="16"/>
              </w:rPr>
              <w:t>69</w:t>
            </w:r>
          </w:p>
        </w:tc>
      </w:tr>
    </w:tbl>
    <w:p w:rsidR="004F290F" w:rsidRDefault="004F290F" w:rsidP="004F290F">
      <w:pPr>
        <w:spacing w:after="100" w:afterAutospacing="1" w:line="480" w:lineRule="auto"/>
        <w:rPr>
          <w:rFonts w:ascii="Times New Roman" w:hAnsi="Times New Roman"/>
          <w:b/>
          <w:sz w:val="24"/>
        </w:rPr>
      </w:pPr>
    </w:p>
    <w:p w:rsidR="004F290F" w:rsidRDefault="004F290F" w:rsidP="004F290F">
      <w:pPr>
        <w:spacing w:after="100" w:afterAutospacing="1" w:line="480" w:lineRule="auto"/>
        <w:rPr>
          <w:rFonts w:ascii="Times New Roman" w:hAnsi="Times New Roman"/>
          <w:sz w:val="24"/>
        </w:rPr>
      </w:pPr>
      <w:r>
        <w:rPr>
          <w:rFonts w:ascii="Times New Roman" w:hAnsi="Times New Roman"/>
          <w:b/>
          <w:sz w:val="24"/>
        </w:rPr>
        <w:t xml:space="preserve">Table S5. </w:t>
      </w:r>
      <w:proofErr w:type="gramStart"/>
      <w:r w:rsidRPr="00CB1503">
        <w:rPr>
          <w:rFonts w:ascii="Times New Roman" w:hAnsi="Times New Roman"/>
          <w:sz w:val="24"/>
        </w:rPr>
        <w:t xml:space="preserve">Correlations between </w:t>
      </w:r>
      <w:r>
        <w:rPr>
          <w:rFonts w:ascii="Times New Roman" w:hAnsi="Times New Roman"/>
          <w:sz w:val="24"/>
        </w:rPr>
        <w:t xml:space="preserve">plot-mean </w:t>
      </w:r>
      <w:r w:rsidRPr="00CB1503">
        <w:rPr>
          <w:rFonts w:ascii="Times New Roman" w:hAnsi="Times New Roman"/>
          <w:sz w:val="24"/>
        </w:rPr>
        <w:t xml:space="preserve">plant traits and soil fertility </w:t>
      </w:r>
      <w:r>
        <w:rPr>
          <w:rFonts w:ascii="Times New Roman" w:hAnsi="Times New Roman"/>
          <w:sz w:val="24"/>
        </w:rPr>
        <w:t>measures in P</w:t>
      </w:r>
      <w:r w:rsidRPr="00CB1503">
        <w:rPr>
          <w:rFonts w:ascii="Times New Roman" w:hAnsi="Times New Roman"/>
          <w:sz w:val="24"/>
        </w:rPr>
        <w:t xml:space="preserve">-limited </w:t>
      </w:r>
      <w:r>
        <w:rPr>
          <w:rFonts w:ascii="Times New Roman" w:hAnsi="Times New Roman"/>
          <w:sz w:val="24"/>
        </w:rPr>
        <w:t>plots</w:t>
      </w:r>
      <w:r w:rsidRPr="00CB1503">
        <w:rPr>
          <w:rFonts w:ascii="Times New Roman" w:hAnsi="Times New Roman"/>
          <w:sz w:val="24"/>
        </w:rPr>
        <w:t>.</w:t>
      </w:r>
      <w:proofErr w:type="gramEnd"/>
      <w:r w:rsidRPr="00CB1503">
        <w:rPr>
          <w:rFonts w:ascii="Times New Roman" w:hAnsi="Times New Roman"/>
          <w:sz w:val="24"/>
        </w:rPr>
        <w:t xml:space="preserve"> Pearson’s correlation coefficient and </w:t>
      </w:r>
      <w:r w:rsidRPr="00884D5F">
        <w:rPr>
          <w:rFonts w:ascii="Times New Roman" w:hAnsi="Times New Roman"/>
          <w:i/>
          <w:sz w:val="24"/>
        </w:rPr>
        <w:t>p</w:t>
      </w:r>
      <w:r w:rsidRPr="00CB1503">
        <w:rPr>
          <w:rFonts w:ascii="Times New Roman" w:hAnsi="Times New Roman"/>
          <w:sz w:val="24"/>
        </w:rPr>
        <w:t xml:space="preserve">-values are shown. All variables were log-transformed prior to the analysis except for </w:t>
      </w:r>
      <w:proofErr w:type="spellStart"/>
      <w:r w:rsidRPr="00CB1503">
        <w:rPr>
          <w:rFonts w:ascii="Times New Roman" w:hAnsi="Times New Roman"/>
          <w:sz w:val="24"/>
        </w:rPr>
        <w:t>IV</w:t>
      </w:r>
      <w:r w:rsidRPr="00D159D1">
        <w:rPr>
          <w:rFonts w:ascii="Times New Roman" w:hAnsi="Times New Roman"/>
          <w:sz w:val="24"/>
          <w:vertAlign w:val="subscript"/>
        </w:rPr>
        <w:t>nut</w:t>
      </w:r>
      <w:proofErr w:type="spellEnd"/>
      <w:r w:rsidRPr="00CB1503">
        <w:rPr>
          <w:rFonts w:ascii="Times New Roman" w:hAnsi="Times New Roman"/>
          <w:sz w:val="24"/>
        </w:rPr>
        <w:t>, C, S, and R.</w:t>
      </w:r>
    </w:p>
    <w:tbl>
      <w:tblPr>
        <w:tblW w:w="8352" w:type="dxa"/>
        <w:tblCellMar>
          <w:left w:w="0" w:type="dxa"/>
          <w:right w:w="0" w:type="dxa"/>
        </w:tblCellMar>
        <w:tblLook w:val="0000" w:firstRow="0" w:lastRow="0" w:firstColumn="0" w:lastColumn="0" w:noHBand="0" w:noVBand="0"/>
      </w:tblPr>
      <w:tblGrid>
        <w:gridCol w:w="1401"/>
        <w:gridCol w:w="860"/>
        <w:gridCol w:w="871"/>
        <w:gridCol w:w="855"/>
        <w:gridCol w:w="871"/>
        <w:gridCol w:w="871"/>
        <w:gridCol w:w="871"/>
        <w:gridCol w:w="876"/>
        <w:gridCol w:w="876"/>
      </w:tblGrid>
      <w:tr w:rsidR="004F290F" w:rsidTr="00026793">
        <w:trPr>
          <w:trHeight w:val="345"/>
        </w:trPr>
        <w:tc>
          <w:tcPr>
            <w:tcW w:w="14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4F290F" w:rsidRPr="00AE0F7A" w:rsidRDefault="004F290F" w:rsidP="00026793">
            <w:pPr>
              <w:jc w:val="center"/>
              <w:rPr>
                <w:rFonts w:ascii="Arial" w:hAnsi="Arial" w:cs="Arial"/>
                <w:sz w:val="16"/>
                <w:szCs w:val="16"/>
              </w:rPr>
            </w:pPr>
            <w:r w:rsidRPr="00AE0F7A">
              <w:rPr>
                <w:rFonts w:ascii="Arial" w:hAnsi="Arial" w:cs="Arial"/>
                <w:sz w:val="16"/>
                <w:szCs w:val="16"/>
              </w:rPr>
              <w:t> </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LNC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WNC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LPC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WPC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roofErr w:type="spellStart"/>
            <w:r w:rsidRPr="00AE0F7A">
              <w:rPr>
                <w:rFonts w:ascii="Arial" w:hAnsi="Arial" w:cs="Arial"/>
                <w:sz w:val="16"/>
                <w:szCs w:val="16"/>
              </w:rPr>
              <w:t>IVnut</w:t>
            </w:r>
            <w:proofErr w:type="spellEnd"/>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C</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S</w:t>
            </w:r>
          </w:p>
        </w:tc>
        <w:tc>
          <w:tcPr>
            <w:tcW w:w="980" w:type="dxa"/>
            <w:tcBorders>
              <w:top w:val="single" w:sz="4" w:space="0" w:color="auto"/>
              <w:left w:val="nil"/>
              <w:bottom w:val="single" w:sz="4" w:space="0" w:color="auto"/>
              <w:right w:val="nil"/>
            </w:tcBorders>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R</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Dissolved N</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-0.31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Summer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0.50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-0.39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Annual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-0.34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5yr Nmin</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0.43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-0.40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Soil N</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-0.41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Soil N:C</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0.61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0.03 ns</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Dissolved P</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0.37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0.41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-0.44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0.15 ns</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 xml:space="preserve">Annual </w:t>
            </w:r>
            <w:proofErr w:type="spellStart"/>
            <w:r w:rsidRPr="00AE0F7A">
              <w:rPr>
                <w:rFonts w:ascii="Arial" w:hAnsi="Arial" w:cs="Arial"/>
                <w:sz w:val="16"/>
                <w:szCs w:val="16"/>
              </w:rPr>
              <w:t>Pmin</w:t>
            </w:r>
            <w:proofErr w:type="spellEnd"/>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-0.02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0.52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0.34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-0.03 ns</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 xml:space="preserve">5yr </w:t>
            </w:r>
            <w:proofErr w:type="spellStart"/>
            <w:r w:rsidRPr="00AE0F7A">
              <w:rPr>
                <w:rFonts w:ascii="Arial" w:hAnsi="Arial" w:cs="Arial"/>
                <w:sz w:val="16"/>
                <w:szCs w:val="16"/>
              </w:rPr>
              <w:t>Pmin</w:t>
            </w:r>
            <w:proofErr w:type="spellEnd"/>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0.08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0.60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0.26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0.32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-0.06 ns</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Soil P</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0.24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0.13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0.21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-0.31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Soil P:C</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0.10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0.65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0.15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-0.33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0.25 *</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sidRPr="00AE0F7A">
              <w:rPr>
                <w:rFonts w:ascii="Arial" w:hAnsi="Arial" w:cs="Arial"/>
                <w:sz w:val="16"/>
                <w:szCs w:val="16"/>
              </w:rPr>
              <w:t>Soil N:P</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-0.26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0.09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-0.56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-0.17 ns</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-0.25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0.38 **</w:t>
            </w: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-0.22 ns</w:t>
            </w:r>
          </w:p>
        </w:tc>
      </w:tr>
      <w:tr w:rsidR="004F290F" w:rsidTr="0002679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p>
        </w:tc>
      </w:tr>
      <w:tr w:rsidR="004F290F" w:rsidTr="00026793">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4F290F" w:rsidRPr="00AE0F7A" w:rsidRDefault="004F290F" w:rsidP="00026793">
            <w:pPr>
              <w:rPr>
                <w:rFonts w:ascii="Arial" w:hAnsi="Arial" w:cs="Arial"/>
                <w:sz w:val="16"/>
                <w:szCs w:val="16"/>
              </w:rPr>
            </w:pPr>
            <w:r>
              <w:rPr>
                <w:rFonts w:ascii="Arial" w:hAnsi="Arial" w:cs="Arial"/>
                <w:sz w:val="16"/>
                <w:szCs w:val="16"/>
              </w:rPr>
              <w:t>N. of plots</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41</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23</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41</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23</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64</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64</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64</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4F290F" w:rsidRPr="00AE0F7A" w:rsidRDefault="004F290F" w:rsidP="00026793">
            <w:pPr>
              <w:jc w:val="center"/>
              <w:rPr>
                <w:rFonts w:ascii="Arial" w:hAnsi="Arial" w:cs="Arial"/>
                <w:sz w:val="16"/>
                <w:szCs w:val="16"/>
              </w:rPr>
            </w:pPr>
            <w:r w:rsidRPr="00AE0F7A">
              <w:rPr>
                <w:rFonts w:ascii="Arial" w:hAnsi="Arial" w:cs="Arial"/>
                <w:sz w:val="16"/>
                <w:szCs w:val="16"/>
              </w:rPr>
              <w:t>64</w:t>
            </w:r>
          </w:p>
        </w:tc>
      </w:tr>
    </w:tbl>
    <w:p w:rsidR="004F290F" w:rsidRDefault="004F290F" w:rsidP="004F290F">
      <w:pPr>
        <w:spacing w:after="100" w:afterAutospacing="1" w:line="480" w:lineRule="auto"/>
        <w:rPr>
          <w:rFonts w:ascii="Times New Roman" w:hAnsi="Times New Roman"/>
          <w:sz w:val="24"/>
        </w:rPr>
      </w:pPr>
    </w:p>
    <w:p w:rsidR="004F290F" w:rsidRDefault="004F290F" w:rsidP="004F290F">
      <w:pPr>
        <w:spacing w:after="100" w:afterAutospacing="1" w:line="480" w:lineRule="auto"/>
        <w:rPr>
          <w:rFonts w:ascii="Times New Roman" w:hAnsi="Times New Roman"/>
          <w:sz w:val="24"/>
        </w:rPr>
      </w:pPr>
      <w:r>
        <w:rPr>
          <w:rFonts w:ascii="Times New Roman" w:hAnsi="Times New Roman"/>
          <w:b/>
          <w:sz w:val="24"/>
        </w:rPr>
        <w:lastRenderedPageBreak/>
        <w:t xml:space="preserve">Figure S4. </w:t>
      </w:r>
      <w:proofErr w:type="gramStart"/>
      <w:r w:rsidRPr="00FB0F03">
        <w:rPr>
          <w:rFonts w:ascii="Times New Roman" w:hAnsi="Times New Roman"/>
          <w:sz w:val="24"/>
        </w:rPr>
        <w:t>Relationships</w:t>
      </w:r>
      <w:r>
        <w:rPr>
          <w:rFonts w:ascii="Times New Roman" w:hAnsi="Times New Roman"/>
          <w:sz w:val="24"/>
        </w:rPr>
        <w:t xml:space="preserve"> between PCA axes and plot-mean plant traits in N- and </w:t>
      </w:r>
      <w:r w:rsidR="00E256C8">
        <w:rPr>
          <w:rFonts w:ascii="Times New Roman" w:hAnsi="Times New Roman"/>
          <w:sz w:val="24"/>
        </w:rPr>
        <w:t>P-limited sites.</w:t>
      </w:r>
      <w:proofErr w:type="gramEnd"/>
      <w:r w:rsidR="00E256C8">
        <w:rPr>
          <w:rFonts w:ascii="Times New Roman" w:hAnsi="Times New Roman"/>
          <w:sz w:val="24"/>
        </w:rPr>
        <w:t xml:space="preserve"> Symbols depict</w:t>
      </w:r>
      <w:r>
        <w:rPr>
          <w:rFonts w:ascii="Times New Roman" w:hAnsi="Times New Roman"/>
          <w:sz w:val="24"/>
        </w:rPr>
        <w:t xml:space="preserve"> the type of nutrient limitation of the site: N-limited (points) and P-limited (crosses). Among the regression models in which coefficient of the PCA axis was significantly different from zero, the best model was chosen (see text for details). When applicable, the regression lines are drawn for N-limited (solid line) and for P-limited (broken line) separately. Adjusted R</w:t>
      </w:r>
      <w:r w:rsidRPr="00154371">
        <w:rPr>
          <w:rFonts w:ascii="Times New Roman" w:hAnsi="Times New Roman"/>
          <w:sz w:val="24"/>
          <w:vertAlign w:val="superscript"/>
        </w:rPr>
        <w:t>2</w:t>
      </w:r>
      <w:r>
        <w:rPr>
          <w:rFonts w:ascii="Times New Roman" w:hAnsi="Times New Roman"/>
          <w:sz w:val="24"/>
        </w:rPr>
        <w:t xml:space="preserve"> and </w:t>
      </w:r>
      <w:r w:rsidRPr="00154371">
        <w:rPr>
          <w:rFonts w:ascii="Times New Roman" w:hAnsi="Times New Roman"/>
          <w:i/>
          <w:sz w:val="24"/>
        </w:rPr>
        <w:t>p</w:t>
      </w:r>
      <w:r>
        <w:rPr>
          <w:rFonts w:ascii="Times New Roman" w:hAnsi="Times New Roman"/>
          <w:sz w:val="24"/>
        </w:rPr>
        <w:t>-values are shown.</w:t>
      </w:r>
    </w:p>
    <w:p w:rsidR="00E256C8" w:rsidRDefault="004F290F" w:rsidP="00D9098E">
      <w:r>
        <w:rPr>
          <w:noProof/>
          <w:lang w:val="nl-NL"/>
        </w:rPr>
        <w:drawing>
          <wp:inline distT="0" distB="0" distL="0" distR="0">
            <wp:extent cx="1981200" cy="6553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553200"/>
                    </a:xfrm>
                    <a:prstGeom prst="rect">
                      <a:avLst/>
                    </a:prstGeom>
                    <a:noFill/>
                  </pic:spPr>
                </pic:pic>
              </a:graphicData>
            </a:graphic>
          </wp:inline>
        </w:drawing>
      </w:r>
      <w:bookmarkStart w:id="0" w:name="_GoBack"/>
      <w:bookmarkEnd w:id="0"/>
    </w:p>
    <w:p w:rsidR="00E256C8" w:rsidRDefault="00E256C8" w:rsidP="00D9098E"/>
    <w:p w:rsidR="00E256C8" w:rsidRPr="00E256C8" w:rsidRDefault="00E256C8" w:rsidP="00E256C8">
      <w:pPr>
        <w:rPr>
          <w:b/>
        </w:rPr>
      </w:pPr>
      <w:r w:rsidRPr="00E256C8">
        <w:rPr>
          <w:b/>
        </w:rPr>
        <w:t>Reference</w:t>
      </w:r>
    </w:p>
    <w:p w:rsidR="00E256C8" w:rsidRDefault="00E256C8" w:rsidP="00E256C8">
      <w:pPr>
        <w:ind w:left="720" w:hanging="720"/>
        <w:rPr>
          <w:noProof/>
        </w:rPr>
      </w:pPr>
      <w:r>
        <w:fldChar w:fldCharType="begin"/>
      </w:r>
      <w:r>
        <w:instrText xml:space="preserve"> ADDIN EN.REFLIST </w:instrText>
      </w:r>
      <w:r>
        <w:fldChar w:fldCharType="separate"/>
      </w:r>
      <w:bookmarkStart w:id="1" w:name="_ENREF_1"/>
      <w:r>
        <w:rPr>
          <w:noProof/>
        </w:rPr>
        <w:t>1. Olde Venterink H, Wassen MJ, Verkroost AWM, de Ruiter PC (2003) Species richness-productivity patterns differ between N-, P-, and K- limited wetlands. Ecology 84: 2191-2199.</w:t>
      </w:r>
      <w:bookmarkEnd w:id="1"/>
    </w:p>
    <w:p w:rsidR="00E256C8" w:rsidRDefault="00E256C8" w:rsidP="00E256C8">
      <w:pPr>
        <w:ind w:left="720" w:hanging="720"/>
        <w:rPr>
          <w:noProof/>
        </w:rPr>
      </w:pPr>
      <w:bookmarkStart w:id="2" w:name="_ENREF_2"/>
      <w:r>
        <w:rPr>
          <w:noProof/>
        </w:rPr>
        <w:t>2. Verhoeven JTA, Koerselman W, Meuleman AFM (1996) Nitrogen- or phosphorus-limited growth in herbaceous, wet vegetation: relations with atmospheric inputs and management regimes. Trends in Ecology and Evolution 11: 494-497.</w:t>
      </w:r>
      <w:bookmarkEnd w:id="2"/>
    </w:p>
    <w:p w:rsidR="00E256C8" w:rsidRDefault="00E256C8" w:rsidP="00E256C8">
      <w:pPr>
        <w:rPr>
          <w:noProof/>
        </w:rPr>
      </w:pPr>
    </w:p>
    <w:p w:rsidR="008121BE" w:rsidRDefault="00E256C8" w:rsidP="00D9098E">
      <w:r>
        <w:fldChar w:fldCharType="end"/>
      </w:r>
    </w:p>
    <w:sectPr w:rsidR="008121BE" w:rsidSect="00D9098E">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wdfa20prpv5cefs985xp5k2sppst0rp0d0&quot;&gt;yuki_EndNote&lt;record-ids&gt;&lt;item&gt;92&lt;/item&gt;&lt;item&gt;180&lt;/item&gt;&lt;/record-ids&gt;&lt;/item&gt;&lt;/Libraries&gt;"/>
  </w:docVars>
  <w:rsids>
    <w:rsidRoot w:val="004F290F"/>
    <w:rsid w:val="001F63C8"/>
    <w:rsid w:val="004F290F"/>
    <w:rsid w:val="00715ECE"/>
    <w:rsid w:val="008121BE"/>
    <w:rsid w:val="009E0D29"/>
    <w:rsid w:val="00D9098E"/>
    <w:rsid w:val="00E256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0F"/>
    <w:pPr>
      <w:spacing w:after="0" w:line="240" w:lineRule="auto"/>
    </w:pPr>
    <w:rPr>
      <w:rFonts w:ascii="Book Antiqua" w:eastAsia="MS Mincho" w:hAnsi="Book Antiqu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0F"/>
    <w:rPr>
      <w:rFonts w:ascii="Tahoma" w:hAnsi="Tahoma" w:cs="Tahoma"/>
      <w:sz w:val="16"/>
      <w:szCs w:val="16"/>
    </w:rPr>
  </w:style>
  <w:style w:type="character" w:customStyle="1" w:styleId="BalloonTextChar">
    <w:name w:val="Balloon Text Char"/>
    <w:basedOn w:val="DefaultParagraphFont"/>
    <w:link w:val="BalloonText"/>
    <w:uiPriority w:val="99"/>
    <w:semiHidden/>
    <w:rsid w:val="004F290F"/>
    <w:rPr>
      <w:rFonts w:ascii="Tahoma" w:eastAsia="MS Mincho" w:hAnsi="Tahoma" w:cs="Tahoma"/>
      <w:sz w:val="16"/>
      <w:szCs w:val="16"/>
      <w:lang w:val="en-US"/>
    </w:rPr>
  </w:style>
  <w:style w:type="character" w:styleId="Hyperlink">
    <w:name w:val="Hyperlink"/>
    <w:basedOn w:val="DefaultParagraphFont"/>
    <w:uiPriority w:val="99"/>
    <w:unhideWhenUsed/>
    <w:rsid w:val="00E25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0F"/>
    <w:pPr>
      <w:spacing w:after="0" w:line="240" w:lineRule="auto"/>
    </w:pPr>
    <w:rPr>
      <w:rFonts w:ascii="Book Antiqua" w:eastAsia="MS Mincho" w:hAnsi="Book Antiqu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0F"/>
    <w:rPr>
      <w:rFonts w:ascii="Tahoma" w:hAnsi="Tahoma" w:cs="Tahoma"/>
      <w:sz w:val="16"/>
      <w:szCs w:val="16"/>
    </w:rPr>
  </w:style>
  <w:style w:type="character" w:customStyle="1" w:styleId="BalloonTextChar">
    <w:name w:val="Balloon Text Char"/>
    <w:basedOn w:val="DefaultParagraphFont"/>
    <w:link w:val="BalloonText"/>
    <w:uiPriority w:val="99"/>
    <w:semiHidden/>
    <w:rsid w:val="004F290F"/>
    <w:rPr>
      <w:rFonts w:ascii="Tahoma" w:eastAsia="MS Mincho" w:hAnsi="Tahoma" w:cs="Tahoma"/>
      <w:sz w:val="16"/>
      <w:szCs w:val="16"/>
      <w:lang w:val="en-US"/>
    </w:rPr>
  </w:style>
  <w:style w:type="character" w:styleId="Hyperlink">
    <w:name w:val="Hyperlink"/>
    <w:basedOn w:val="DefaultParagraphFont"/>
    <w:uiPriority w:val="99"/>
    <w:unhideWhenUsed/>
    <w:rsid w:val="00E25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1256</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KWR Watercycle Research Institute</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 Yuki</dc:creator>
  <cp:lastModifiedBy>Fujita, Yuki</cp:lastModifiedBy>
  <cp:revision>2</cp:revision>
  <dcterms:created xsi:type="dcterms:W3CDTF">2013-11-18T14:19:00Z</dcterms:created>
  <dcterms:modified xsi:type="dcterms:W3CDTF">2013-11-18T14:21:00Z</dcterms:modified>
</cp:coreProperties>
</file>