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7" w:rsidRPr="00443A73" w:rsidRDefault="00107517" w:rsidP="00107517">
      <w:pPr>
        <w:spacing w:line="360" w:lineRule="auto"/>
        <w:rPr>
          <w:sz w:val="22"/>
        </w:rPr>
      </w:pPr>
      <w:r w:rsidRPr="00443A73">
        <w:rPr>
          <w:b/>
          <w:sz w:val="22"/>
        </w:rPr>
        <w:t xml:space="preserve">Table </w:t>
      </w:r>
      <w:r w:rsidR="004E387D">
        <w:rPr>
          <w:b/>
          <w:sz w:val="22"/>
        </w:rPr>
        <w:t>S</w:t>
      </w:r>
      <w:r w:rsidRPr="00443A73">
        <w:rPr>
          <w:b/>
          <w:sz w:val="22"/>
        </w:rPr>
        <w:t>1</w:t>
      </w:r>
      <w:r w:rsidRPr="00443A73">
        <w:rPr>
          <w:sz w:val="22"/>
        </w:rPr>
        <w:t xml:space="preserve">: </w:t>
      </w:r>
      <w:r w:rsidR="00F92949">
        <w:rPr>
          <w:sz w:val="22"/>
        </w:rPr>
        <w:t>Demographic and clinical c</w:t>
      </w:r>
      <w:r w:rsidRPr="00443A73">
        <w:rPr>
          <w:sz w:val="22"/>
        </w:rPr>
        <w:t xml:space="preserve">haracteristics of patients receiving </w:t>
      </w:r>
      <w:r w:rsidR="00F92949">
        <w:rPr>
          <w:sz w:val="22"/>
        </w:rPr>
        <w:t xml:space="preserve">caspofungin, voriconazole and older </w:t>
      </w:r>
      <w:r w:rsidRPr="00443A73">
        <w:rPr>
          <w:sz w:val="22"/>
        </w:rPr>
        <w:t>antifungal agents. Numbers are percents of patients unless indicated otherwise.</w:t>
      </w:r>
    </w:p>
    <w:tbl>
      <w:tblPr>
        <w:tblW w:w="9345" w:type="dxa"/>
        <w:jc w:val="center"/>
        <w:tblInd w:w="540" w:type="dxa"/>
        <w:tblLook w:val="00A0"/>
      </w:tblPr>
      <w:tblGrid>
        <w:gridCol w:w="3855"/>
        <w:gridCol w:w="1830"/>
        <w:gridCol w:w="1830"/>
        <w:gridCol w:w="1830"/>
      </w:tblGrid>
      <w:tr w:rsidR="00107517" w:rsidRPr="006D5909" w:rsidTr="004E387D">
        <w:trPr>
          <w:trHeight w:val="396"/>
          <w:jc w:val="center"/>
        </w:trPr>
        <w:tc>
          <w:tcPr>
            <w:tcW w:w="3855" w:type="dxa"/>
            <w:vMerge w:val="restart"/>
            <w:tcBorders>
              <w:top w:val="single" w:sz="4" w:space="0" w:color="auto"/>
            </w:tcBorders>
            <w:vAlign w:val="center"/>
          </w:tcPr>
          <w:p w:rsidR="00107517" w:rsidRPr="006D5909" w:rsidRDefault="00107517" w:rsidP="003B4FC2">
            <w:pPr>
              <w:pStyle w:val="NoSpacing"/>
              <w:rPr>
                <w:b/>
                <w:sz w:val="22"/>
              </w:rPr>
            </w:pPr>
            <w:r w:rsidRPr="006D5909">
              <w:rPr>
                <w:b/>
                <w:sz w:val="22"/>
              </w:rPr>
              <w:t>Characteristic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517" w:rsidRPr="006D5909" w:rsidRDefault="00107517" w:rsidP="003B4FC2">
            <w:pPr>
              <w:pStyle w:val="NoSpacing"/>
              <w:jc w:val="center"/>
              <w:rPr>
                <w:b/>
                <w:sz w:val="22"/>
              </w:rPr>
            </w:pPr>
            <w:r w:rsidRPr="006D5909">
              <w:rPr>
                <w:b/>
                <w:sz w:val="22"/>
              </w:rPr>
              <w:t>Treatment</w:t>
            </w:r>
          </w:p>
        </w:tc>
      </w:tr>
      <w:tr w:rsidR="00107517" w:rsidRPr="006D5909" w:rsidTr="004E387D">
        <w:trPr>
          <w:trHeight w:val="530"/>
          <w:jc w:val="center"/>
        </w:trPr>
        <w:tc>
          <w:tcPr>
            <w:tcW w:w="3855" w:type="dxa"/>
            <w:vMerge/>
            <w:tcBorders>
              <w:bottom w:val="single" w:sz="4" w:space="0" w:color="auto"/>
            </w:tcBorders>
            <w:vAlign w:val="center"/>
          </w:tcPr>
          <w:p w:rsidR="00107517" w:rsidRPr="006D5909" w:rsidRDefault="00107517" w:rsidP="003B4FC2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517" w:rsidRPr="006D5909" w:rsidRDefault="00107517" w:rsidP="004E387D">
            <w:pPr>
              <w:pStyle w:val="NoSpacing"/>
              <w:jc w:val="center"/>
              <w:rPr>
                <w:b/>
                <w:sz w:val="22"/>
              </w:rPr>
            </w:pPr>
            <w:r w:rsidRPr="006D5909">
              <w:rPr>
                <w:b/>
                <w:sz w:val="22"/>
              </w:rPr>
              <w:t>Caspofungin</w:t>
            </w:r>
            <w:r w:rsidR="004E387D">
              <w:rPr>
                <w:b/>
                <w:sz w:val="22"/>
              </w:rPr>
              <w:t xml:space="preserve"> </w:t>
            </w:r>
            <w:r w:rsidRPr="006D5909">
              <w:rPr>
                <w:b/>
                <w:sz w:val="22"/>
              </w:rPr>
              <w:t>(N=5181)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517" w:rsidRPr="006D5909" w:rsidRDefault="00107517" w:rsidP="004E387D">
            <w:pPr>
              <w:pStyle w:val="NoSpacing"/>
              <w:jc w:val="center"/>
              <w:rPr>
                <w:b/>
                <w:sz w:val="22"/>
              </w:rPr>
            </w:pPr>
            <w:r w:rsidRPr="006D5909">
              <w:rPr>
                <w:b/>
                <w:sz w:val="22"/>
              </w:rPr>
              <w:t>Voriconazole</w:t>
            </w:r>
            <w:r w:rsidR="004E387D">
              <w:rPr>
                <w:b/>
                <w:sz w:val="22"/>
              </w:rPr>
              <w:t xml:space="preserve"> </w:t>
            </w:r>
            <w:r w:rsidRPr="006D5909">
              <w:rPr>
                <w:b/>
                <w:sz w:val="22"/>
              </w:rPr>
              <w:t>(N=3329)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7517" w:rsidRPr="006D5909" w:rsidRDefault="00107517" w:rsidP="004E387D">
            <w:pPr>
              <w:pStyle w:val="NoSpacing"/>
              <w:jc w:val="center"/>
              <w:rPr>
                <w:b/>
                <w:sz w:val="22"/>
              </w:rPr>
            </w:pPr>
            <w:r w:rsidRPr="006D5909">
              <w:rPr>
                <w:b/>
                <w:sz w:val="22"/>
              </w:rPr>
              <w:t>Older antifungals</w:t>
            </w:r>
            <w:r w:rsidRPr="006D5909">
              <w:rPr>
                <w:b/>
                <w:sz w:val="22"/>
                <w:vertAlign w:val="superscript"/>
              </w:rPr>
              <w:t>a</w:t>
            </w:r>
            <w:r w:rsidR="004E387D">
              <w:rPr>
                <w:b/>
                <w:sz w:val="22"/>
                <w:vertAlign w:val="superscript"/>
              </w:rPr>
              <w:t xml:space="preserve"> </w:t>
            </w:r>
            <w:r w:rsidRPr="006D5909">
              <w:rPr>
                <w:b/>
                <w:sz w:val="22"/>
              </w:rPr>
              <w:t>(N=34,856)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Age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&lt;18 yr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2.99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11.44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11.66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18-44 yr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18.65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21.36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22.85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45-64 yr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35.11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35.60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30.63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&gt; 65 yr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43.25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31.60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34.86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Female gender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50.80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47.22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48.72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Year of admission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2001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4.73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0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34.68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2002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16.99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12.77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37.18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2003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78.29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85.57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28.14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Fungal infection diagnosis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4E387D" w:rsidRDefault="00107517" w:rsidP="004E387D">
            <w:pPr>
              <w:pStyle w:val="NoSpacing"/>
              <w:ind w:firstLine="402"/>
              <w:rPr>
                <w:i/>
                <w:sz w:val="22"/>
              </w:rPr>
            </w:pPr>
            <w:r w:rsidRPr="004E387D">
              <w:rPr>
                <w:i/>
                <w:sz w:val="22"/>
              </w:rPr>
              <w:t>Aspergillus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>
              <w:rPr>
                <w:sz w:val="22"/>
              </w:rPr>
              <w:t>5.19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>
              <w:rPr>
                <w:sz w:val="22"/>
              </w:rPr>
              <w:t>12.50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>
              <w:rPr>
                <w:sz w:val="22"/>
              </w:rPr>
              <w:t>6.05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>
              <w:rPr>
                <w:sz w:val="22"/>
              </w:rPr>
              <w:t xml:space="preserve">Systemic </w:t>
            </w:r>
            <w:r w:rsidRPr="004E387D">
              <w:rPr>
                <w:sz w:val="22"/>
              </w:rPr>
              <w:t>Candida</w:t>
            </w:r>
            <w:r>
              <w:rPr>
                <w:sz w:val="22"/>
              </w:rPr>
              <w:t xml:space="preserve"> infections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>
              <w:rPr>
                <w:sz w:val="22"/>
              </w:rPr>
              <w:t>15.17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>
              <w:rPr>
                <w:sz w:val="22"/>
              </w:rPr>
              <w:t>6.97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>
              <w:rPr>
                <w:sz w:val="22"/>
              </w:rPr>
              <w:t>8.71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>
              <w:rPr>
                <w:sz w:val="22"/>
              </w:rPr>
              <w:t>Others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>
              <w:rPr>
                <w:sz w:val="22"/>
              </w:rPr>
              <w:t>20.83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>
              <w:rPr>
                <w:sz w:val="22"/>
              </w:rPr>
              <w:t>15.86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>
              <w:rPr>
                <w:sz w:val="22"/>
              </w:rPr>
              <w:t>28.53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Default="00107517" w:rsidP="004E387D">
            <w:pPr>
              <w:pStyle w:val="NoSpacing"/>
              <w:ind w:firstLine="402"/>
              <w:rPr>
                <w:sz w:val="22"/>
              </w:rPr>
            </w:pPr>
            <w:r>
              <w:rPr>
                <w:sz w:val="22"/>
              </w:rPr>
              <w:t>No fungal diagnosis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>
              <w:rPr>
                <w:sz w:val="22"/>
              </w:rPr>
              <w:t>58.81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>
              <w:rPr>
                <w:sz w:val="22"/>
              </w:rPr>
              <w:t>64.67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>
              <w:rPr>
                <w:sz w:val="22"/>
              </w:rPr>
              <w:t>56.71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Teaching hospital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43.51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55.09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37.78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Hospital size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&lt;250 beds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12.39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8.92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15.26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 xml:space="preserve">250-500 beds 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35.50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23.46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40.27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&gt; 500 beds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52.11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67.62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44.47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Transfer from other hospital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10.91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8.77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9.54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APR mortality risk group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Minor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6.62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12.20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13.57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Moderate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16.87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26.85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24.33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Major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27.99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30.04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30.96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Extreme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48.52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30.91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31.14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Insurance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Medicare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52.02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39.05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42.90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Medicaid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11.66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12.02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17.39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Other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36.33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48.93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39.71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Comorbidity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HIV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5.64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3.24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9.55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Solid tumor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14.26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12.65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9.89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Acute leukemia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10.44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24.51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11.21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Other hematological malignancies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7.01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11.11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5.90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Hematopoietic stem cell transplantation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3.3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12.83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27.28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Major surgery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38.58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25.41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32.17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Acute renal failure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34.14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22.53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20.84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Liver necrosis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2.80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1.56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1.52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top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rPr>
                <w:sz w:val="22"/>
              </w:rPr>
            </w:pPr>
            <w:r w:rsidRPr="006D5909">
              <w:rPr>
                <w:sz w:val="22"/>
              </w:rPr>
              <w:t>Admission diagnosis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Sepsis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41.85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27.46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29.61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Pneumonia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41.27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37.76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32.22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Fever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5.02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8.05</w:t>
            </w:r>
          </w:p>
        </w:tc>
        <w:tc>
          <w:tcPr>
            <w:tcW w:w="1830" w:type="dxa"/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3.44</w:t>
            </w:r>
          </w:p>
        </w:tc>
      </w:tr>
      <w:tr w:rsidR="00107517" w:rsidRPr="006D5909" w:rsidTr="004E387D">
        <w:trPr>
          <w:jc w:val="center"/>
        </w:trPr>
        <w:tc>
          <w:tcPr>
            <w:tcW w:w="3855" w:type="dxa"/>
            <w:tcBorders>
              <w:bottom w:val="single" w:sz="4" w:space="0" w:color="auto"/>
            </w:tcBorders>
          </w:tcPr>
          <w:p w:rsidR="00107517" w:rsidRPr="006D5909" w:rsidRDefault="00107517" w:rsidP="004E387D">
            <w:pPr>
              <w:pStyle w:val="NoSpacing"/>
              <w:ind w:firstLine="402"/>
              <w:rPr>
                <w:sz w:val="22"/>
              </w:rPr>
            </w:pPr>
            <w:r w:rsidRPr="006D5909">
              <w:rPr>
                <w:sz w:val="22"/>
              </w:rPr>
              <w:t>Mechanic ventilator support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459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40.07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ind w:right="601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24.0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107517" w:rsidRPr="006D5909" w:rsidRDefault="00107517" w:rsidP="003B4FC2">
            <w:pPr>
              <w:pStyle w:val="NoSpacing"/>
              <w:tabs>
                <w:tab w:val="left" w:pos="1201"/>
              </w:tabs>
              <w:ind w:right="318"/>
              <w:jc w:val="center"/>
              <w:rPr>
                <w:sz w:val="22"/>
              </w:rPr>
            </w:pPr>
            <w:r w:rsidRPr="006D5909">
              <w:rPr>
                <w:sz w:val="22"/>
              </w:rPr>
              <w:t>29.66</w:t>
            </w:r>
          </w:p>
        </w:tc>
      </w:tr>
    </w:tbl>
    <w:p w:rsidR="007841BB" w:rsidRPr="004E387D" w:rsidRDefault="00107517" w:rsidP="004E387D">
      <w:pPr>
        <w:tabs>
          <w:tab w:val="left" w:pos="8280"/>
        </w:tabs>
        <w:spacing w:before="120"/>
        <w:ind w:right="29"/>
        <w:rPr>
          <w:sz w:val="22"/>
        </w:rPr>
      </w:pPr>
      <w:r w:rsidRPr="00443A73">
        <w:rPr>
          <w:b/>
          <w:sz w:val="26"/>
          <w:szCs w:val="26"/>
          <w:vertAlign w:val="superscript"/>
        </w:rPr>
        <w:t>a</w:t>
      </w:r>
      <w:r w:rsidRPr="00443A73">
        <w:rPr>
          <w:sz w:val="22"/>
        </w:rPr>
        <w:t xml:space="preserve"> Itraconazole, amphotericin B and lipid/liposomal formulations of amphotericin B.</w:t>
      </w:r>
    </w:p>
    <w:sectPr w:rsidR="007841BB" w:rsidRPr="004E387D" w:rsidSect="00270693">
      <w:pgSz w:w="11907" w:h="16840" w:code="9"/>
      <w:pgMar w:top="1440" w:right="1440" w:bottom="1440" w:left="1440" w:header="1152" w:footer="576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07517"/>
    <w:rsid w:val="00107517"/>
    <w:rsid w:val="00194B76"/>
    <w:rsid w:val="00240607"/>
    <w:rsid w:val="0026220D"/>
    <w:rsid w:val="00270693"/>
    <w:rsid w:val="002B38B8"/>
    <w:rsid w:val="00316B93"/>
    <w:rsid w:val="003C1197"/>
    <w:rsid w:val="004A31AF"/>
    <w:rsid w:val="004E387D"/>
    <w:rsid w:val="007841BB"/>
    <w:rsid w:val="007A4774"/>
    <w:rsid w:val="009A4562"/>
    <w:rsid w:val="009F407E"/>
    <w:rsid w:val="00B32DC2"/>
    <w:rsid w:val="00B50201"/>
    <w:rsid w:val="00B521E9"/>
    <w:rsid w:val="00C17EC1"/>
    <w:rsid w:val="00CA4A02"/>
    <w:rsid w:val="00CC5DFE"/>
    <w:rsid w:val="00F90A64"/>
    <w:rsid w:val="00F9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17"/>
    <w:rPr>
      <w:rFonts w:ascii="Times New Roman" w:eastAsia="PMingLiU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07517"/>
    <w:rPr>
      <w:rFonts w:ascii="Times New Roman" w:eastAsia="PMingLiU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Omega CRO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Ascioglu</dc:creator>
  <cp:keywords/>
  <dc:description/>
  <cp:lastModifiedBy>Sibel Ascioglu</cp:lastModifiedBy>
  <cp:revision>2</cp:revision>
  <dcterms:created xsi:type="dcterms:W3CDTF">2013-11-21T11:19:00Z</dcterms:created>
  <dcterms:modified xsi:type="dcterms:W3CDTF">2013-11-21T11:19:00Z</dcterms:modified>
</cp:coreProperties>
</file>