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E" w:rsidRPr="00374E57" w:rsidRDefault="0037348A" w:rsidP="00CB1BDE">
      <w:pPr>
        <w:pStyle w:val="Rubrik3slutrapport"/>
        <w:spacing w:line="480" w:lineRule="auto"/>
        <w:rPr>
          <w:rFonts w:asciiTheme="minorHAnsi" w:hAnsiTheme="minorHAnsi" w:cs="Times New Roman"/>
          <w:sz w:val="24"/>
          <w:szCs w:val="24"/>
        </w:rPr>
      </w:pPr>
      <w:bookmarkStart w:id="0" w:name="_Toc319853647"/>
      <w:bookmarkStart w:id="1" w:name="_Toc319906210"/>
      <w:bookmarkStart w:id="2" w:name="_Toc320889542"/>
      <w:r w:rsidRPr="00374E57">
        <w:rPr>
          <w:rFonts w:asciiTheme="minorHAnsi" w:hAnsiTheme="minorHAnsi" w:cs="Times New Roman"/>
          <w:sz w:val="24"/>
          <w:szCs w:val="24"/>
        </w:rPr>
        <w:t>M</w:t>
      </w:r>
      <w:r w:rsidR="00374E57" w:rsidRPr="00374E57">
        <w:rPr>
          <w:rFonts w:asciiTheme="minorHAnsi" w:hAnsiTheme="minorHAnsi" w:cs="Times New Roman"/>
          <w:sz w:val="24"/>
          <w:szCs w:val="24"/>
        </w:rPr>
        <w:t>ethod S</w:t>
      </w:r>
      <w:r w:rsidR="00374E57">
        <w:rPr>
          <w:rFonts w:asciiTheme="minorHAnsi" w:hAnsiTheme="minorHAnsi" w:cs="Times New Roman"/>
          <w:sz w:val="24"/>
          <w:szCs w:val="24"/>
        </w:rPr>
        <w:t>3</w:t>
      </w:r>
      <w:r w:rsidR="00CB1BDE" w:rsidRPr="00374E57">
        <w:rPr>
          <w:rFonts w:asciiTheme="minorHAnsi" w:hAnsiTheme="minorHAnsi" w:cs="Times New Roman"/>
          <w:sz w:val="24"/>
          <w:szCs w:val="24"/>
        </w:rPr>
        <w:t xml:space="preserve">. SERUM </w:t>
      </w:r>
      <w:proofErr w:type="spellStart"/>
      <w:r w:rsidR="00CB1BDE" w:rsidRPr="00374E57">
        <w:rPr>
          <w:rFonts w:asciiTheme="minorHAnsi" w:hAnsiTheme="minorHAnsi" w:cs="Times New Roman"/>
          <w:sz w:val="24"/>
          <w:szCs w:val="24"/>
        </w:rPr>
        <w:t>IgG</w:t>
      </w:r>
      <w:proofErr w:type="spellEnd"/>
      <w:r w:rsidR="00CB1BDE" w:rsidRPr="00374E57">
        <w:rPr>
          <w:rFonts w:asciiTheme="minorHAnsi" w:hAnsiTheme="minorHAnsi" w:cs="Times New Roman"/>
          <w:sz w:val="24"/>
          <w:szCs w:val="24"/>
        </w:rPr>
        <w:t xml:space="preserve"> ANTIBODY ANALYSES</w:t>
      </w:r>
    </w:p>
    <w:bookmarkEnd w:id="0"/>
    <w:bookmarkEnd w:id="1"/>
    <w:bookmarkEnd w:id="2"/>
    <w:p w:rsidR="00CB1BDE" w:rsidRPr="00374E57" w:rsidRDefault="00CB1BDE" w:rsidP="00CB1BDE">
      <w:pPr>
        <w:rPr>
          <w:rStyle w:val="rubrik9char"/>
          <w:rFonts w:asciiTheme="minorHAnsi" w:hAnsiTheme="minorHAnsi"/>
          <w:sz w:val="20"/>
          <w:szCs w:val="18"/>
          <w:lang w:val="en-US"/>
        </w:rPr>
      </w:pPr>
      <w:r w:rsidRPr="00374E57">
        <w:rPr>
          <w:rStyle w:val="rubrik9char"/>
          <w:rFonts w:asciiTheme="minorHAnsi" w:hAnsiTheme="minorHAnsi"/>
          <w:sz w:val="20"/>
          <w:szCs w:val="18"/>
          <w:lang w:val="en-US"/>
        </w:rPr>
        <w:t>ELISA in general</w:t>
      </w:r>
    </w:p>
    <w:p w:rsidR="00CB1BDE" w:rsidRDefault="00CB1BDE" w:rsidP="00CB1BDE">
      <w:pPr>
        <w:spacing w:after="120" w:line="240" w:lineRule="atLeast"/>
        <w:rPr>
          <w:rStyle w:val="brdtext2char"/>
          <w:rFonts w:asciiTheme="minorHAnsi" w:hAnsiTheme="minorHAnsi"/>
          <w:sz w:val="20"/>
          <w:szCs w:val="24"/>
          <w:lang w:val="en-US"/>
        </w:rPr>
      </w:pPr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High binding polystyrene plates were coated with antigen. Eight two-fold dilutions of sera were used. A reference line assay was used to calculate arbitrary units (EU) per ml of test samples from the absorbance value (A405) of a calibrator (14). The results were accepted if the controls of the plates were within given limits of antibody concentration. If not the plate was retested. </w:t>
      </w:r>
      <w:r w:rsidR="00780337">
        <w:rPr>
          <w:rStyle w:val="brdtext2char"/>
          <w:rFonts w:asciiTheme="minorHAnsi" w:hAnsiTheme="minorHAnsi"/>
          <w:sz w:val="20"/>
          <w:szCs w:val="24"/>
          <w:lang w:val="en-US"/>
        </w:rPr>
        <w:t>An increase is considered as significant if antibody level is doubled compared to pre-vaccination level and at least 4 times the minimum level of detection (MLD).</w:t>
      </w:r>
    </w:p>
    <w:p w:rsidR="00CB1BDE" w:rsidRPr="00E11B00" w:rsidRDefault="00CB1BDE" w:rsidP="00CB1BDE">
      <w:pPr>
        <w:spacing w:after="120" w:line="240" w:lineRule="atLeast"/>
        <w:rPr>
          <w:rFonts w:asciiTheme="minorHAnsi" w:hAnsiTheme="minorHAnsi"/>
          <w:sz w:val="22"/>
          <w:lang w:val="en-US"/>
        </w:rPr>
      </w:pPr>
    </w:p>
    <w:p w:rsidR="00CB1BDE" w:rsidRPr="00CB1BDE" w:rsidRDefault="00CB1BDE" w:rsidP="00CB1BDE">
      <w:pPr>
        <w:rPr>
          <w:rStyle w:val="rubrik9char"/>
          <w:rFonts w:asciiTheme="minorHAnsi" w:hAnsiTheme="minorHAnsi"/>
          <w:sz w:val="20"/>
          <w:szCs w:val="18"/>
          <w:lang w:val="en-US"/>
        </w:rPr>
      </w:pPr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>Anti-PT</w:t>
      </w:r>
    </w:p>
    <w:p w:rsidR="00CB1BDE" w:rsidRDefault="00CB1BDE" w:rsidP="00CB1BDE">
      <w:pPr>
        <w:spacing w:after="120" w:line="240" w:lineRule="atLeast"/>
        <w:rPr>
          <w:rStyle w:val="brdtext2char"/>
          <w:rFonts w:asciiTheme="minorHAnsi" w:hAnsiTheme="minorHAnsi"/>
          <w:sz w:val="20"/>
          <w:szCs w:val="24"/>
          <w:lang w:val="en-US"/>
        </w:rPr>
      </w:pPr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Pertussis toxin (TOH15, SmithKline Beecham) diluted to 1 mg/L in PBS pH 7.4 was used for coating over night at room temperature. A NIBSC reference human antiserum, 06/142, containing 106 IU/ml of </w:t>
      </w: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IgG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anti-PT was used as calibrator. A pool of fractioned human plasma (IgG42) 46.5 IU/ml diluted 1/20 was used as a monitor. The minimum level of detection (MLD) was 1 IU/ml. </w:t>
      </w:r>
    </w:p>
    <w:p w:rsidR="00CB1BDE" w:rsidRPr="00E11B00" w:rsidRDefault="00CB1BDE" w:rsidP="00CB1BDE">
      <w:pPr>
        <w:spacing w:after="120" w:line="240" w:lineRule="atLeast"/>
        <w:rPr>
          <w:rFonts w:asciiTheme="minorHAnsi" w:eastAsiaTheme="minorHAnsi" w:hAnsiTheme="minorHAnsi"/>
          <w:sz w:val="22"/>
          <w:lang w:val="en-US"/>
        </w:rPr>
      </w:pPr>
    </w:p>
    <w:p w:rsidR="00CB1BDE" w:rsidRPr="00CB1BDE" w:rsidRDefault="00CB1BDE" w:rsidP="00CB1BDE">
      <w:pPr>
        <w:rPr>
          <w:rStyle w:val="rubrik9char"/>
          <w:rFonts w:asciiTheme="minorHAnsi" w:hAnsiTheme="minorHAnsi"/>
          <w:sz w:val="20"/>
          <w:szCs w:val="18"/>
          <w:lang w:val="en-US"/>
        </w:rPr>
      </w:pPr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>Anti-FHA</w:t>
      </w:r>
    </w:p>
    <w:p w:rsidR="00CB1BDE" w:rsidRDefault="00CB1BDE" w:rsidP="00CB1BDE">
      <w:pPr>
        <w:spacing w:after="120" w:line="240" w:lineRule="atLeast"/>
        <w:rPr>
          <w:rStyle w:val="brdtext2char"/>
          <w:rFonts w:asciiTheme="minorHAnsi" w:hAnsiTheme="minorHAnsi"/>
          <w:sz w:val="20"/>
          <w:szCs w:val="24"/>
          <w:lang w:val="en-US"/>
        </w:rPr>
      </w:pPr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FHA (TOH 15, Smith-Kline-Beecham) diluted to 1.5 mg/L in PBS pH 7.4 was used for coating over night at room temperature. A NIBSC reference human antiserum, 06/142, containing 122 IU/ml of </w:t>
      </w: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IgG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anti-FHA was used as calibrator. A pool of fractioned human plasma (Ig42) 112 IU/ml diluted 1/20 was used as a monitor. The minimum level of detection (MLD) was 1 IU/ml. </w:t>
      </w:r>
    </w:p>
    <w:p w:rsidR="00CB1BDE" w:rsidRPr="00E11B00" w:rsidRDefault="00CB1BDE" w:rsidP="00CB1BDE">
      <w:pPr>
        <w:spacing w:after="120" w:line="240" w:lineRule="atLeast"/>
        <w:rPr>
          <w:rFonts w:asciiTheme="minorHAnsi" w:eastAsiaTheme="minorHAnsi" w:hAnsiTheme="minorHAnsi"/>
          <w:sz w:val="22"/>
          <w:lang w:val="en-US"/>
        </w:rPr>
      </w:pPr>
    </w:p>
    <w:p w:rsidR="00CB1BDE" w:rsidRPr="00CB1BDE" w:rsidRDefault="00CB1BDE" w:rsidP="00CB1BDE">
      <w:pPr>
        <w:rPr>
          <w:rStyle w:val="rubrik9char"/>
          <w:rFonts w:asciiTheme="minorHAnsi" w:hAnsiTheme="minorHAnsi"/>
          <w:sz w:val="20"/>
          <w:szCs w:val="18"/>
          <w:lang w:val="en-US"/>
        </w:rPr>
      </w:pPr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>Anti-</w:t>
      </w:r>
      <w:proofErr w:type="spellStart"/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>pertactin</w:t>
      </w:r>
      <w:proofErr w:type="spellEnd"/>
    </w:p>
    <w:p w:rsidR="00CB1BDE" w:rsidRDefault="00CB1BDE" w:rsidP="00CB1BDE">
      <w:pPr>
        <w:spacing w:after="120" w:line="240" w:lineRule="atLeast"/>
        <w:rPr>
          <w:rStyle w:val="brdtext2char"/>
          <w:rFonts w:asciiTheme="minorHAnsi" w:hAnsiTheme="minorHAnsi"/>
          <w:sz w:val="20"/>
          <w:szCs w:val="24"/>
          <w:lang w:val="en-US"/>
        </w:rPr>
      </w:pP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Pertactin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(SKA-QCDSCO4420, Aventis Pasteur Canada) diluted to 2.5 mg/L in carbonate buffer pH 9.6 was used for coating over night at room temperature. A NIBSC reference human antiserum, 06/142, containing 39 IU/ml of </w:t>
      </w: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IgG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anti-</w:t>
      </w: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pertactin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was used as calibrator. A pool of fractioned human plasma (IgG42) 14 IU/ml diluted 1/100 was used as a monitor. The minimum level of detection (MLD) was 2 IU/ml. </w:t>
      </w:r>
    </w:p>
    <w:p w:rsidR="00780337" w:rsidRPr="00E11B00" w:rsidRDefault="00780337" w:rsidP="00CB1BDE">
      <w:pPr>
        <w:spacing w:after="120" w:line="240" w:lineRule="atLeast"/>
        <w:rPr>
          <w:rFonts w:asciiTheme="minorHAnsi" w:eastAsiaTheme="minorHAnsi" w:hAnsiTheme="minorHAnsi"/>
          <w:sz w:val="22"/>
          <w:lang w:val="en-US"/>
        </w:rPr>
      </w:pPr>
    </w:p>
    <w:p w:rsidR="00CB1BDE" w:rsidRPr="00CB1BDE" w:rsidRDefault="00CB1BDE" w:rsidP="00CB1BDE">
      <w:pPr>
        <w:rPr>
          <w:rStyle w:val="rubrik9char"/>
          <w:rFonts w:asciiTheme="minorHAnsi" w:hAnsiTheme="minorHAnsi"/>
          <w:sz w:val="20"/>
          <w:szCs w:val="18"/>
          <w:lang w:val="en-US"/>
        </w:rPr>
      </w:pPr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>Anti-</w:t>
      </w:r>
      <w:proofErr w:type="spellStart"/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>fimbriae</w:t>
      </w:r>
      <w:proofErr w:type="spellEnd"/>
      <w:r w:rsidRPr="00CB1BDE">
        <w:rPr>
          <w:rStyle w:val="rubrik9char"/>
          <w:rFonts w:asciiTheme="minorHAnsi" w:hAnsiTheme="minorHAnsi"/>
          <w:sz w:val="20"/>
          <w:szCs w:val="18"/>
          <w:lang w:val="en-US"/>
        </w:rPr>
        <w:t xml:space="preserve"> 2/3 </w:t>
      </w:r>
    </w:p>
    <w:p w:rsidR="00CB1BDE" w:rsidRPr="00E11B00" w:rsidRDefault="00CB1BDE" w:rsidP="00CB1BDE">
      <w:pPr>
        <w:spacing w:after="120" w:line="240" w:lineRule="atLeast"/>
        <w:rPr>
          <w:rStyle w:val="Kommentarsreferens"/>
          <w:rFonts w:asciiTheme="minorHAnsi" w:hAnsiTheme="minorHAnsi"/>
          <w:b/>
          <w:bCs/>
          <w:i/>
          <w:iCs/>
          <w:sz w:val="12"/>
          <w:lang w:val="en-US"/>
        </w:rPr>
      </w:pP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Fimbriae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2+3 (CAG9/14-PDS, Connaught Laboratories Ltd, Ontario Canada) diluted to 1.0 mg/L in PBS pH 7.4 </w:t>
      </w:r>
      <w:proofErr w:type="gram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was</w:t>
      </w:r>
      <w:proofErr w:type="gram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used for coating over night at room temperature. As there is no international reference human antiserum, a pool of fractioned human plasma (IgG42) assigned the value of 4000 EU/ml </w:t>
      </w: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IgG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anti-</w:t>
      </w:r>
      <w:proofErr w:type="spellStart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>fim</w:t>
      </w:r>
      <w:proofErr w:type="spellEnd"/>
      <w:r w:rsidRPr="00E11B00">
        <w:rPr>
          <w:rStyle w:val="brdtext2char"/>
          <w:rFonts w:asciiTheme="minorHAnsi" w:hAnsiTheme="minorHAnsi"/>
          <w:sz w:val="20"/>
          <w:szCs w:val="24"/>
          <w:lang w:val="en-US"/>
        </w:rPr>
        <w:t xml:space="preserve"> diluted 1/100 was used as calibrator. A pool of positive sera (pool 2/2000) 37.5 EU/ml was used as a monitor. The minimum level of detection (MLD) was 1 EU/ml. </w:t>
      </w:r>
    </w:p>
    <w:sectPr w:rsidR="00CB1BDE" w:rsidRPr="00E11B00" w:rsidSect="00FF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CB1BDE"/>
    <w:rsid w:val="001738B8"/>
    <w:rsid w:val="0037348A"/>
    <w:rsid w:val="00374E57"/>
    <w:rsid w:val="003C2382"/>
    <w:rsid w:val="00780337"/>
    <w:rsid w:val="00CB1BDE"/>
    <w:rsid w:val="00E90E9B"/>
    <w:rsid w:val="00FF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DE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B1B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3slutrapport">
    <w:name w:val="Rubrik 3 slutrapport"/>
    <w:basedOn w:val="Rubrik3"/>
    <w:uiPriority w:val="99"/>
    <w:rsid w:val="00CB1BDE"/>
    <w:pPr>
      <w:keepNext w:val="0"/>
      <w:tabs>
        <w:tab w:val="left" w:pos="900"/>
        <w:tab w:val="left" w:pos="1004"/>
        <w:tab w:val="left" w:pos="1440"/>
        <w:tab w:val="left" w:pos="1620"/>
      </w:tabs>
      <w:spacing w:after="120" w:line="240" w:lineRule="atLeast"/>
    </w:pPr>
    <w:rPr>
      <w:rFonts w:ascii="Arial" w:eastAsia="Batang" w:hAnsi="Arial" w:cs="Arial"/>
      <w:sz w:val="20"/>
      <w:szCs w:val="20"/>
      <w:lang w:val="en-US" w:eastAsia="sv-SE"/>
    </w:rPr>
  </w:style>
  <w:style w:type="character" w:styleId="Kommentarsreferens">
    <w:name w:val="annotation reference"/>
    <w:basedOn w:val="Standardstycketeckensnitt"/>
    <w:uiPriority w:val="99"/>
    <w:rsid w:val="00CB1BDE"/>
    <w:rPr>
      <w:rFonts w:ascii="Times New Roman" w:hAnsi="Times New Roman" w:cs="Times New Roman"/>
      <w:sz w:val="16"/>
      <w:szCs w:val="16"/>
    </w:rPr>
  </w:style>
  <w:style w:type="character" w:customStyle="1" w:styleId="rubrik3char0">
    <w:name w:val="rubrik3char"/>
    <w:basedOn w:val="Standardstycketeckensnitt"/>
    <w:rsid w:val="00CB1BDE"/>
    <w:rPr>
      <w:rFonts w:ascii="Cambria" w:hAnsi="Cambria" w:hint="default"/>
      <w:b/>
      <w:bCs/>
      <w:color w:val="4F81BD"/>
    </w:rPr>
  </w:style>
  <w:style w:type="character" w:customStyle="1" w:styleId="brdtext2char">
    <w:name w:val="brdtext2char"/>
    <w:basedOn w:val="Standardstycketeckensnitt"/>
    <w:rsid w:val="00CB1BDE"/>
    <w:rPr>
      <w:rFonts w:ascii="Times New Roman" w:hAnsi="Times New Roman" w:cs="Times New Roman" w:hint="default"/>
    </w:rPr>
  </w:style>
  <w:style w:type="character" w:customStyle="1" w:styleId="rubrik9char">
    <w:name w:val="rubrik9char"/>
    <w:basedOn w:val="Standardstycketeckensnitt"/>
    <w:rsid w:val="00CB1BDE"/>
    <w:rPr>
      <w:rFonts w:ascii="Arial" w:hAnsi="Arial" w:cs="Arial" w:hint="default"/>
      <w:b/>
      <w:bCs/>
      <w:i/>
      <w:i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B1BD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1898</Characters>
  <Application>Microsoft Office Word</Application>
  <DocSecurity>0</DocSecurity>
  <Lines>15</Lines>
  <Paragraphs>4</Paragraphs>
  <ScaleCrop>false</ScaleCrop>
  <Company>Smittskyddsinstitutet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Wehlin</dc:creator>
  <cp:lastModifiedBy>rigmor thorstensson</cp:lastModifiedBy>
  <cp:revision>4</cp:revision>
  <dcterms:created xsi:type="dcterms:W3CDTF">2013-01-18T15:18:00Z</dcterms:created>
  <dcterms:modified xsi:type="dcterms:W3CDTF">2013-07-09T11:32:00Z</dcterms:modified>
</cp:coreProperties>
</file>