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2F" w:rsidRPr="00166171" w:rsidRDefault="009E332F" w:rsidP="00166171">
      <w:pPr>
        <w:spacing w:line="360" w:lineRule="auto"/>
        <w:rPr>
          <w:rFonts w:ascii="Times New Roman" w:hAnsi="Times New Roman" w:cs="Times New Roman"/>
          <w:b/>
          <w:i/>
          <w:sz w:val="24"/>
          <w:szCs w:val="24"/>
          <w:lang w:val="en-US"/>
        </w:rPr>
      </w:pPr>
      <w:bookmarkStart w:id="0" w:name="_GoBack"/>
      <w:bookmarkEnd w:id="0"/>
      <w:r w:rsidRPr="00166171">
        <w:rPr>
          <w:rFonts w:ascii="Times New Roman" w:hAnsi="Times New Roman" w:cs="Times New Roman"/>
          <w:b/>
          <w:i/>
          <w:sz w:val="24"/>
          <w:szCs w:val="24"/>
          <w:lang w:val="en-US"/>
        </w:rPr>
        <w:t>Clinical and anthropometric measurements and questionnaires</w:t>
      </w:r>
    </w:p>
    <w:p w:rsidR="009E332F" w:rsidRDefault="00166171" w:rsidP="00166171">
      <w:pPr>
        <w:spacing w:before="100" w:beforeAutospacing="1" w:after="100" w:afterAutospacing="1" w:line="360" w:lineRule="auto"/>
        <w:outlineLvl w:val="1"/>
        <w:rPr>
          <w:rFonts w:ascii="Times New Roman" w:hAnsi="Times New Roman" w:cs="Times New Roman"/>
          <w:sz w:val="24"/>
          <w:szCs w:val="24"/>
          <w:lang w:val="en-US"/>
        </w:rPr>
      </w:pPr>
      <w:r w:rsidRPr="00166171">
        <w:rPr>
          <w:rFonts w:ascii="Times New Roman" w:hAnsi="Times New Roman" w:cs="Times New Roman"/>
          <w:sz w:val="24"/>
          <w:szCs w:val="24"/>
          <w:lang w:val="en-US"/>
        </w:rPr>
        <w:t xml:space="preserve">A brief </w:t>
      </w:r>
      <w:r w:rsidR="009E332F" w:rsidRPr="00166171">
        <w:rPr>
          <w:rFonts w:ascii="Times New Roman" w:hAnsi="Times New Roman" w:cs="Times New Roman"/>
          <w:sz w:val="24"/>
          <w:szCs w:val="24"/>
          <w:lang w:val="en-US"/>
        </w:rPr>
        <w:t xml:space="preserve">clinical history, including </w:t>
      </w:r>
      <w:r w:rsidRPr="00166171">
        <w:rPr>
          <w:rFonts w:ascii="Times New Roman" w:hAnsi="Times New Roman" w:cs="Times New Roman"/>
          <w:sz w:val="24"/>
          <w:szCs w:val="24"/>
          <w:lang w:val="en-US"/>
        </w:rPr>
        <w:t xml:space="preserve">current </w:t>
      </w:r>
      <w:r w:rsidR="009E332F" w:rsidRPr="00166171">
        <w:rPr>
          <w:rFonts w:ascii="Times New Roman" w:hAnsi="Times New Roman" w:cs="Times New Roman"/>
          <w:sz w:val="24"/>
          <w:szCs w:val="24"/>
          <w:lang w:val="en-US"/>
        </w:rPr>
        <w:t>medications</w:t>
      </w:r>
      <w:r w:rsidRPr="00166171">
        <w:rPr>
          <w:rFonts w:ascii="Times New Roman" w:hAnsi="Times New Roman" w:cs="Times New Roman"/>
          <w:sz w:val="24"/>
          <w:szCs w:val="24"/>
          <w:lang w:val="en-US"/>
        </w:rPr>
        <w:t>,</w:t>
      </w:r>
      <w:r w:rsidR="009E332F" w:rsidRPr="00166171">
        <w:rPr>
          <w:rFonts w:ascii="Times New Roman" w:hAnsi="Times New Roman" w:cs="Times New Roman"/>
          <w:sz w:val="24"/>
          <w:szCs w:val="24"/>
          <w:lang w:val="en-US"/>
        </w:rPr>
        <w:t xml:space="preserve"> w</w:t>
      </w:r>
      <w:r w:rsidRPr="00166171">
        <w:rPr>
          <w:rFonts w:ascii="Times New Roman" w:hAnsi="Times New Roman" w:cs="Times New Roman"/>
          <w:sz w:val="24"/>
          <w:szCs w:val="24"/>
          <w:lang w:val="en-US"/>
        </w:rPr>
        <w:t>as</w:t>
      </w:r>
      <w:r w:rsidR="009E332F" w:rsidRPr="00166171">
        <w:rPr>
          <w:rFonts w:ascii="Times New Roman" w:hAnsi="Times New Roman" w:cs="Times New Roman"/>
          <w:sz w:val="24"/>
          <w:szCs w:val="24"/>
          <w:lang w:val="en-US"/>
        </w:rPr>
        <w:t xml:space="preserve"> documented </w:t>
      </w:r>
      <w:r w:rsidRPr="00166171">
        <w:rPr>
          <w:rFonts w:ascii="Times New Roman" w:hAnsi="Times New Roman" w:cs="Times New Roman"/>
          <w:sz w:val="24"/>
          <w:szCs w:val="24"/>
          <w:lang w:val="en-US"/>
        </w:rPr>
        <w:t>by the physician</w:t>
      </w:r>
      <w:r w:rsidR="009519DD">
        <w:rPr>
          <w:rFonts w:ascii="Times New Roman" w:hAnsi="Times New Roman" w:cs="Times New Roman"/>
          <w:sz w:val="24"/>
          <w:szCs w:val="24"/>
          <w:lang w:val="en-US"/>
        </w:rPr>
        <w:t xml:space="preserve"> (HL)</w:t>
      </w:r>
      <w:r w:rsidRPr="00166171">
        <w:rPr>
          <w:rFonts w:ascii="Times New Roman" w:hAnsi="Times New Roman" w:cs="Times New Roman"/>
          <w:sz w:val="24"/>
          <w:szCs w:val="24"/>
          <w:lang w:val="en-US"/>
        </w:rPr>
        <w:t xml:space="preserve"> </w:t>
      </w:r>
      <w:r w:rsidR="009E332F" w:rsidRPr="00166171">
        <w:rPr>
          <w:rFonts w:ascii="Times New Roman" w:hAnsi="Times New Roman" w:cs="Times New Roman"/>
          <w:sz w:val="24"/>
          <w:szCs w:val="24"/>
          <w:lang w:val="en-US"/>
        </w:rPr>
        <w:t xml:space="preserve">at </w:t>
      </w:r>
      <w:r w:rsidRPr="00166171">
        <w:rPr>
          <w:rFonts w:ascii="Times New Roman" w:hAnsi="Times New Roman" w:cs="Times New Roman"/>
          <w:sz w:val="24"/>
          <w:szCs w:val="24"/>
          <w:lang w:val="en-US"/>
        </w:rPr>
        <w:t xml:space="preserve">a </w:t>
      </w:r>
      <w:r w:rsidR="009519DD">
        <w:rPr>
          <w:rFonts w:ascii="Times New Roman" w:hAnsi="Times New Roman" w:cs="Times New Roman"/>
          <w:sz w:val="24"/>
          <w:szCs w:val="24"/>
          <w:lang w:val="en-US"/>
        </w:rPr>
        <w:t xml:space="preserve">pre-study clinic </w:t>
      </w:r>
      <w:r w:rsidR="009E332F" w:rsidRPr="00166171">
        <w:rPr>
          <w:rFonts w:ascii="Times New Roman" w:hAnsi="Times New Roman" w:cs="Times New Roman"/>
          <w:sz w:val="24"/>
          <w:szCs w:val="24"/>
          <w:lang w:val="en-US"/>
        </w:rPr>
        <w:t>screening</w:t>
      </w:r>
      <w:r w:rsidRPr="00166171">
        <w:rPr>
          <w:rFonts w:ascii="Times New Roman" w:hAnsi="Times New Roman" w:cs="Times New Roman"/>
          <w:sz w:val="24"/>
          <w:szCs w:val="24"/>
          <w:lang w:val="en-US"/>
        </w:rPr>
        <w:t xml:space="preserve"> visit</w:t>
      </w:r>
      <w:r w:rsidR="009E332F" w:rsidRPr="00166171">
        <w:rPr>
          <w:rFonts w:ascii="Times New Roman" w:hAnsi="Times New Roman" w:cs="Times New Roman"/>
          <w:sz w:val="24"/>
          <w:szCs w:val="24"/>
          <w:lang w:val="en-US"/>
        </w:rPr>
        <w:t>. Participants attended the research clinic fasting but were instructed to take their usual morning medications. Sitting blood pressure (</w:t>
      </w:r>
      <w:r w:rsidR="009E332F" w:rsidRPr="00166171">
        <w:rPr>
          <w:rFonts w:ascii="Times New Roman" w:hAnsi="Times New Roman" w:cs="Times New Roman"/>
          <w:sz w:val="24"/>
          <w:szCs w:val="24"/>
        </w:rPr>
        <w:t xml:space="preserve">(HEM-907, Omron, </w:t>
      </w:r>
      <w:proofErr w:type="spellStart"/>
      <w:r w:rsidR="009E332F" w:rsidRPr="00166171">
        <w:rPr>
          <w:rFonts w:ascii="Times New Roman" w:hAnsi="Times New Roman" w:cs="Times New Roman"/>
          <w:sz w:val="24"/>
          <w:szCs w:val="24"/>
        </w:rPr>
        <w:t>Matsuzaka</w:t>
      </w:r>
      <w:proofErr w:type="spellEnd"/>
      <w:r w:rsidR="009E332F" w:rsidRPr="00166171">
        <w:rPr>
          <w:rFonts w:ascii="Times New Roman" w:hAnsi="Times New Roman" w:cs="Times New Roman"/>
          <w:sz w:val="24"/>
          <w:szCs w:val="24"/>
        </w:rPr>
        <w:t xml:space="preserve"> City, Japan)</w:t>
      </w:r>
      <w:r w:rsidR="009E332F" w:rsidRPr="00166171">
        <w:rPr>
          <w:rFonts w:ascii="Times New Roman" w:hAnsi="Times New Roman" w:cs="Times New Roman"/>
          <w:sz w:val="24"/>
          <w:szCs w:val="24"/>
          <w:lang w:val="en-US"/>
        </w:rPr>
        <w:t xml:space="preserve">, waist and hip circumference, height and weight were measured and BMI calculated. Percentage body fat was measured using a </w:t>
      </w:r>
      <w:proofErr w:type="spellStart"/>
      <w:r w:rsidR="009E332F" w:rsidRPr="00166171">
        <w:rPr>
          <w:rFonts w:ascii="Times New Roman" w:hAnsi="Times New Roman" w:cs="Times New Roman"/>
          <w:sz w:val="24"/>
          <w:szCs w:val="24"/>
          <w:lang w:val="en-US"/>
        </w:rPr>
        <w:t>bioimpedance</w:t>
      </w:r>
      <w:proofErr w:type="spellEnd"/>
      <w:r w:rsidR="009E332F" w:rsidRPr="00166171">
        <w:rPr>
          <w:rFonts w:ascii="Times New Roman" w:hAnsi="Times New Roman" w:cs="Times New Roman"/>
          <w:sz w:val="24"/>
          <w:szCs w:val="24"/>
          <w:lang w:val="en-US"/>
        </w:rPr>
        <w:t xml:space="preserve"> method (</w:t>
      </w:r>
      <w:proofErr w:type="spellStart"/>
      <w:r w:rsidR="009E332F" w:rsidRPr="00166171">
        <w:rPr>
          <w:rFonts w:ascii="Times New Roman" w:hAnsi="Times New Roman" w:cs="Times New Roman"/>
          <w:sz w:val="24"/>
          <w:szCs w:val="24"/>
          <w:lang w:val="en-US"/>
        </w:rPr>
        <w:t>InBody</w:t>
      </w:r>
      <w:proofErr w:type="spellEnd"/>
      <w:r w:rsidR="009E332F" w:rsidRPr="00166171">
        <w:rPr>
          <w:rFonts w:ascii="Times New Roman" w:hAnsi="Times New Roman" w:cs="Times New Roman"/>
          <w:sz w:val="24"/>
          <w:szCs w:val="24"/>
          <w:lang w:val="en-US"/>
        </w:rPr>
        <w:t xml:space="preserve"> 230</w:t>
      </w:r>
      <w:r>
        <w:rPr>
          <w:rFonts w:ascii="Times New Roman" w:hAnsi="Times New Roman" w:cs="Times New Roman"/>
          <w:sz w:val="24"/>
          <w:szCs w:val="24"/>
          <w:lang w:val="en-US"/>
        </w:rPr>
        <w:t>,</w:t>
      </w:r>
      <w:r w:rsidR="009E332F" w:rsidRPr="00166171">
        <w:rPr>
          <w:rFonts w:ascii="Times New Roman" w:hAnsi="Times New Roman" w:cs="Times New Roman"/>
          <w:sz w:val="24"/>
          <w:szCs w:val="24"/>
          <w:lang w:val="en-US"/>
        </w:rPr>
        <w:t xml:space="preserve"> </w:t>
      </w:r>
      <w:proofErr w:type="spellStart"/>
      <w:r w:rsidR="009E332F" w:rsidRPr="00166171">
        <w:rPr>
          <w:rFonts w:ascii="Times New Roman" w:hAnsi="Times New Roman" w:cs="Times New Roman"/>
          <w:sz w:val="24"/>
          <w:szCs w:val="24"/>
          <w:lang w:val="en-US"/>
        </w:rPr>
        <w:t>Biospace</w:t>
      </w:r>
      <w:proofErr w:type="spellEnd"/>
      <w:r w:rsidR="009E332F" w:rsidRPr="00166171">
        <w:rPr>
          <w:rFonts w:ascii="Times New Roman" w:hAnsi="Times New Roman" w:cs="Times New Roman"/>
          <w:sz w:val="24"/>
          <w:szCs w:val="24"/>
          <w:lang w:val="en-US"/>
        </w:rPr>
        <w:t xml:space="preserve">, </w:t>
      </w:r>
      <w:proofErr w:type="gramStart"/>
      <w:r w:rsidR="009E332F" w:rsidRPr="00166171">
        <w:rPr>
          <w:rFonts w:ascii="Times New Roman" w:hAnsi="Times New Roman" w:cs="Times New Roman"/>
          <w:sz w:val="24"/>
          <w:szCs w:val="24"/>
          <w:lang w:val="en-US"/>
        </w:rPr>
        <w:t>Seoul</w:t>
      </w:r>
      <w:proofErr w:type="gramEnd"/>
      <w:r w:rsidR="009E332F" w:rsidRPr="00166171">
        <w:rPr>
          <w:rFonts w:ascii="Times New Roman" w:hAnsi="Times New Roman" w:cs="Times New Roman"/>
          <w:sz w:val="24"/>
          <w:szCs w:val="24"/>
          <w:lang w:val="en-US"/>
        </w:rPr>
        <w:t>, Korea). Fasting blood samples were taken and either analyzed immediately for hemoglobin and hematocrit, or placed on an ice/water slurry followed by refrigerated centrifugation within 10 minutes then frozen at minus 20</w:t>
      </w:r>
      <w:r w:rsidR="009E332F" w:rsidRPr="00166171">
        <w:rPr>
          <w:rFonts w:ascii="Times New Roman" w:hAnsi="Times New Roman" w:cs="Times New Roman"/>
          <w:sz w:val="24"/>
          <w:szCs w:val="24"/>
          <w:vertAlign w:val="superscript"/>
          <w:lang w:val="en-US"/>
        </w:rPr>
        <w:t>o</w:t>
      </w:r>
      <w:r w:rsidR="009E332F" w:rsidRPr="00166171">
        <w:rPr>
          <w:rFonts w:ascii="Times New Roman" w:hAnsi="Times New Roman" w:cs="Times New Roman"/>
          <w:sz w:val="24"/>
          <w:szCs w:val="24"/>
          <w:lang w:val="en-US"/>
        </w:rPr>
        <w:t xml:space="preserve">C for batched analysis of lipids, glucose and insulin at an accredited laboratory.  </w:t>
      </w:r>
      <w:r w:rsidR="009519DD" w:rsidRPr="00166171">
        <w:rPr>
          <w:rFonts w:ascii="Times New Roman" w:hAnsi="Times New Roman" w:cs="Times New Roman"/>
          <w:sz w:val="24"/>
          <w:szCs w:val="24"/>
          <w:lang w:val="en-US"/>
        </w:rPr>
        <w:t xml:space="preserve">Hemoglobin and hematocrit were measured to ensure no participants were anemic and to record change </w:t>
      </w:r>
      <w:r w:rsidR="009519DD">
        <w:rPr>
          <w:rFonts w:ascii="Times New Roman" w:hAnsi="Times New Roman" w:cs="Times New Roman"/>
          <w:sz w:val="24"/>
          <w:szCs w:val="24"/>
          <w:lang w:val="en-US"/>
        </w:rPr>
        <w:t xml:space="preserve">in these variables </w:t>
      </w:r>
      <w:r w:rsidR="009519DD" w:rsidRPr="00166171">
        <w:rPr>
          <w:rFonts w:ascii="Times New Roman" w:hAnsi="Times New Roman" w:cs="Times New Roman"/>
          <w:sz w:val="24"/>
          <w:szCs w:val="24"/>
          <w:lang w:val="en-US"/>
        </w:rPr>
        <w:t>during the study period</w:t>
      </w:r>
      <w:r w:rsidR="009519DD">
        <w:rPr>
          <w:rFonts w:ascii="Times New Roman" w:hAnsi="Times New Roman" w:cs="Times New Roman"/>
          <w:sz w:val="24"/>
          <w:szCs w:val="24"/>
          <w:lang w:val="en-US"/>
        </w:rPr>
        <w:t>, as major change</w:t>
      </w:r>
      <w:r w:rsidR="009519DD" w:rsidRPr="00166171">
        <w:rPr>
          <w:rFonts w:ascii="Times New Roman" w:hAnsi="Times New Roman" w:cs="Times New Roman"/>
          <w:sz w:val="24"/>
          <w:szCs w:val="24"/>
          <w:lang w:val="en-US"/>
        </w:rPr>
        <w:t xml:space="preserve"> might impact on interpretation of changes in </w:t>
      </w:r>
      <w:r w:rsidR="009519DD" w:rsidRPr="00166171">
        <w:rPr>
          <w:rFonts w:ascii="Times New Roman" w:hAnsi="Times New Roman" w:cs="Times New Roman"/>
          <w:position w:val="-6"/>
          <w:sz w:val="24"/>
          <w:szCs w:val="24"/>
          <w:lang w:val="en-US"/>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75pt" o:ole="">
            <v:imagedata r:id="rId7" o:title=""/>
          </v:shape>
          <o:OLEObject Type="Embed" ProgID="Equation.3" ShapeID="_x0000_i1025" DrawAspect="Content" ObjectID="_1446965618" r:id="rId8"/>
        </w:object>
      </w:r>
      <w:r w:rsidR="009519DD" w:rsidRPr="00166171">
        <w:rPr>
          <w:rFonts w:ascii="Times New Roman" w:hAnsi="Times New Roman" w:cs="Times New Roman"/>
          <w:sz w:val="24"/>
          <w:szCs w:val="24"/>
          <w:lang w:val="en-US"/>
        </w:rPr>
        <w:t>O</w:t>
      </w:r>
      <w:r w:rsidR="009519DD" w:rsidRPr="00166171">
        <w:rPr>
          <w:rFonts w:ascii="Times New Roman" w:hAnsi="Times New Roman" w:cs="Times New Roman"/>
          <w:sz w:val="24"/>
          <w:szCs w:val="24"/>
          <w:vertAlign w:val="subscript"/>
          <w:lang w:val="en-US"/>
        </w:rPr>
        <w:t>2max</w:t>
      </w:r>
      <w:r w:rsidR="009519DD" w:rsidRPr="00166171">
        <w:rPr>
          <w:rFonts w:ascii="Times New Roman" w:hAnsi="Times New Roman" w:cs="Times New Roman"/>
          <w:sz w:val="24"/>
          <w:szCs w:val="24"/>
          <w:lang w:val="en-US"/>
        </w:rPr>
        <w:t xml:space="preserve">. </w:t>
      </w:r>
      <w:r w:rsidR="009E332F" w:rsidRPr="00166171">
        <w:rPr>
          <w:rFonts w:ascii="Times New Roman" w:hAnsi="Times New Roman" w:cs="Times New Roman"/>
          <w:sz w:val="24"/>
          <w:szCs w:val="24"/>
          <w:lang w:val="en-US"/>
        </w:rPr>
        <w:t xml:space="preserve">Quality of life was measured using the SF36 (SF-36v2, qualitymetric.com). The PAR-Q &amp; You (Physical Activity Readiness questionnaire, </w:t>
      </w:r>
      <w:hyperlink r:id="rId9" w:history="1">
        <w:r w:rsidR="009E332F" w:rsidRPr="00166171">
          <w:rPr>
            <w:rStyle w:val="Hyperlink"/>
            <w:rFonts w:ascii="Times New Roman" w:hAnsi="Times New Roman"/>
            <w:color w:val="000000"/>
            <w:sz w:val="24"/>
            <w:szCs w:val="24"/>
            <w:lang w:val="en-US" w:eastAsia="en-NZ"/>
          </w:rPr>
          <w:t>www.csep.ca/english/view.asp?x=698</w:t>
        </w:r>
      </w:hyperlink>
      <w:r w:rsidR="009E332F" w:rsidRPr="00166171">
        <w:rPr>
          <w:rFonts w:ascii="Times New Roman" w:hAnsi="Times New Roman" w:cs="Times New Roman"/>
          <w:sz w:val="24"/>
          <w:szCs w:val="24"/>
          <w:lang w:val="en-US"/>
        </w:rPr>
        <w:t>) was used as a measure of disease burden.</w:t>
      </w:r>
    </w:p>
    <w:p w:rsidR="00A46FF5" w:rsidRDefault="00A46FF5" w:rsidP="00166171">
      <w:pPr>
        <w:spacing w:line="360" w:lineRule="auto"/>
        <w:rPr>
          <w:rFonts w:ascii="Times New Roman" w:hAnsi="Times New Roman" w:cs="Times New Roman"/>
          <w:b/>
          <w:i/>
          <w:sz w:val="24"/>
          <w:szCs w:val="24"/>
          <w:lang w:val="en-US"/>
        </w:rPr>
      </w:pPr>
    </w:p>
    <w:p w:rsidR="009E332F" w:rsidRPr="00166171" w:rsidRDefault="009E332F" w:rsidP="00166171">
      <w:pPr>
        <w:spacing w:line="360" w:lineRule="auto"/>
        <w:rPr>
          <w:rFonts w:ascii="Times New Roman" w:hAnsi="Times New Roman" w:cs="Times New Roman"/>
          <w:sz w:val="24"/>
          <w:szCs w:val="24"/>
          <w:lang w:val="en-US"/>
        </w:rPr>
      </w:pPr>
      <w:r w:rsidRPr="00166171">
        <w:rPr>
          <w:rFonts w:ascii="Times New Roman" w:hAnsi="Times New Roman" w:cs="Times New Roman"/>
          <w:b/>
          <w:i/>
          <w:sz w:val="24"/>
          <w:szCs w:val="24"/>
          <w:lang w:val="en-US"/>
        </w:rPr>
        <w:t xml:space="preserve">Adherence with </w:t>
      </w:r>
      <w:r w:rsidR="00B356B5">
        <w:rPr>
          <w:rFonts w:ascii="Times New Roman" w:hAnsi="Times New Roman" w:cs="Times New Roman"/>
          <w:b/>
          <w:i/>
          <w:sz w:val="24"/>
          <w:szCs w:val="24"/>
          <w:lang w:val="en-US"/>
        </w:rPr>
        <w:t xml:space="preserve">the </w:t>
      </w:r>
      <w:r w:rsidRPr="00166171">
        <w:rPr>
          <w:rFonts w:ascii="Times New Roman" w:hAnsi="Times New Roman" w:cs="Times New Roman"/>
          <w:b/>
          <w:i/>
          <w:sz w:val="24"/>
          <w:szCs w:val="24"/>
          <w:lang w:val="en-US"/>
        </w:rPr>
        <w:t>exercise prescription</w:t>
      </w:r>
      <w:r w:rsidRPr="00166171">
        <w:rPr>
          <w:rFonts w:ascii="Times New Roman" w:hAnsi="Times New Roman" w:cs="Times New Roman"/>
          <w:sz w:val="24"/>
          <w:szCs w:val="24"/>
          <w:lang w:val="en-US"/>
        </w:rPr>
        <w:t xml:space="preserve"> </w:t>
      </w:r>
    </w:p>
    <w:p w:rsidR="009E332F" w:rsidRDefault="009519DD" w:rsidP="00166171">
      <w:pPr>
        <w:pStyle w:val="yiv256516197msonormal"/>
        <w:spacing w:line="360" w:lineRule="auto"/>
        <w:rPr>
          <w:iCs/>
          <w:color w:val="000000"/>
          <w:lang w:val="en-US"/>
        </w:rPr>
      </w:pPr>
      <w:r>
        <w:rPr>
          <w:lang w:val="en-US"/>
        </w:rPr>
        <w:t>When participants attended group sessions, e</w:t>
      </w:r>
      <w:r w:rsidR="009E332F" w:rsidRPr="00166171">
        <w:rPr>
          <w:lang w:val="en-US"/>
        </w:rPr>
        <w:t xml:space="preserve">xercise duration </w:t>
      </w:r>
      <w:r>
        <w:rPr>
          <w:lang w:val="en-US"/>
        </w:rPr>
        <w:t xml:space="preserve">(minutes) was recorded by the </w:t>
      </w:r>
      <w:r w:rsidRPr="00166171">
        <w:rPr>
          <w:lang w:val="en-US"/>
        </w:rPr>
        <w:t>exercise group leaders</w:t>
      </w:r>
      <w:r>
        <w:rPr>
          <w:lang w:val="en-US"/>
        </w:rPr>
        <w:t>. T</w:t>
      </w:r>
      <w:r w:rsidR="009E332F" w:rsidRPr="00166171">
        <w:rPr>
          <w:lang w:val="en-US"/>
        </w:rPr>
        <w:t>he heart rate response to exercise using downloadable HR monitors</w:t>
      </w:r>
      <w:r>
        <w:rPr>
          <w:lang w:val="en-US"/>
        </w:rPr>
        <w:t xml:space="preserve"> was used as the measure of exercise intensity</w:t>
      </w:r>
      <w:r w:rsidR="009E332F" w:rsidRPr="00166171">
        <w:rPr>
          <w:lang w:val="en-US"/>
        </w:rPr>
        <w:t xml:space="preserve">. The </w:t>
      </w:r>
      <w:r w:rsidRPr="00166171">
        <w:rPr>
          <w:lang w:val="en-US"/>
        </w:rPr>
        <w:t xml:space="preserve">exercise group leaders </w:t>
      </w:r>
      <w:r>
        <w:rPr>
          <w:lang w:val="en-US"/>
        </w:rPr>
        <w:t xml:space="preserve">also </w:t>
      </w:r>
      <w:r w:rsidR="009E332F" w:rsidRPr="00166171">
        <w:rPr>
          <w:lang w:val="en-US"/>
        </w:rPr>
        <w:t>kept a log of participants’ attendance at group sessions, including group ‘catch up’ sessions and also logged individual’s unsupervised, non</w:t>
      </w:r>
      <w:r w:rsidR="00A46FF5">
        <w:rPr>
          <w:lang w:val="en-US"/>
        </w:rPr>
        <w:t>-</w:t>
      </w:r>
      <w:r w:rsidR="009E332F" w:rsidRPr="00166171">
        <w:rPr>
          <w:lang w:val="en-US"/>
        </w:rPr>
        <w:t xml:space="preserve">group based exercise sessions. </w:t>
      </w:r>
      <w:r w:rsidR="009E332F" w:rsidRPr="00166171">
        <w:rPr>
          <w:iCs/>
          <w:color w:val="000000"/>
          <w:lang w:val="en-US"/>
        </w:rPr>
        <w:t xml:space="preserve">Downloadable HR monitors were used to measure the proportion of time spent within the allocated HR zones for the </w:t>
      </w:r>
      <w:r w:rsidR="00370448">
        <w:rPr>
          <w:iCs/>
          <w:color w:val="000000"/>
          <w:lang w:val="en-US"/>
        </w:rPr>
        <w:t>WALK (wal</w:t>
      </w:r>
      <w:r w:rsidR="001C3386">
        <w:rPr>
          <w:iCs/>
          <w:color w:val="000000"/>
          <w:lang w:val="en-US"/>
        </w:rPr>
        <w:t>k</w:t>
      </w:r>
      <w:r w:rsidR="00370448">
        <w:rPr>
          <w:iCs/>
          <w:color w:val="000000"/>
          <w:lang w:val="en-US"/>
        </w:rPr>
        <w:t>ing)</w:t>
      </w:r>
      <w:r w:rsidR="009E332F" w:rsidRPr="00166171">
        <w:rPr>
          <w:iCs/>
          <w:color w:val="000000"/>
          <w:lang w:val="en-US"/>
        </w:rPr>
        <w:t xml:space="preserve"> and </w:t>
      </w:r>
      <w:r w:rsidR="00370448">
        <w:rPr>
          <w:iCs/>
          <w:color w:val="000000"/>
          <w:lang w:val="en-US"/>
        </w:rPr>
        <w:t>AIT</w:t>
      </w:r>
      <w:r w:rsidR="009E332F" w:rsidRPr="00166171">
        <w:rPr>
          <w:iCs/>
          <w:color w:val="000000"/>
          <w:lang w:val="en-US"/>
        </w:rPr>
        <w:t xml:space="preserve"> </w:t>
      </w:r>
      <w:r w:rsidR="00370448">
        <w:rPr>
          <w:iCs/>
          <w:color w:val="000000"/>
          <w:lang w:val="en-US"/>
        </w:rPr>
        <w:t xml:space="preserve">(aerobic interval training) </w:t>
      </w:r>
      <w:r w:rsidR="009E332F" w:rsidRPr="00166171">
        <w:rPr>
          <w:iCs/>
          <w:color w:val="000000"/>
          <w:lang w:val="en-US"/>
        </w:rPr>
        <w:t xml:space="preserve">groups and as an indirect measure of exercise intensity for the MVIT </w:t>
      </w:r>
      <w:r w:rsidR="00370448">
        <w:rPr>
          <w:iCs/>
          <w:color w:val="000000"/>
          <w:lang w:val="en-US"/>
        </w:rPr>
        <w:t xml:space="preserve">(maximal volitional intensity training) </w:t>
      </w:r>
      <w:r w:rsidR="009E332F" w:rsidRPr="00166171">
        <w:rPr>
          <w:iCs/>
          <w:color w:val="000000"/>
          <w:lang w:val="en-US"/>
        </w:rPr>
        <w:t>group. Participants replaced their standard HR monitor with a downloadable S610 monitor for one exercise session during weeks 6,9,11 i.e. for three sessions over the duration of the study. Participants and exercise group leaders were blind to participants’ HR monitor results for these three sessions.</w:t>
      </w:r>
    </w:p>
    <w:p w:rsidR="000F6AD5" w:rsidRPr="00166171" w:rsidRDefault="000F6AD5" w:rsidP="00166171">
      <w:pPr>
        <w:pStyle w:val="yiv256516197msonormal"/>
        <w:spacing w:line="360" w:lineRule="auto"/>
        <w:rPr>
          <w:color w:val="000000"/>
          <w:lang w:val="en-US"/>
        </w:rPr>
      </w:pPr>
    </w:p>
    <w:p w:rsidR="009E332F" w:rsidRPr="00166171" w:rsidRDefault="009E332F" w:rsidP="00166171">
      <w:pPr>
        <w:spacing w:line="360" w:lineRule="auto"/>
        <w:rPr>
          <w:rFonts w:ascii="Times New Roman" w:hAnsi="Times New Roman" w:cs="Times New Roman"/>
          <w:sz w:val="24"/>
          <w:szCs w:val="24"/>
          <w:lang w:val="en-US"/>
        </w:rPr>
      </w:pPr>
      <w:r w:rsidRPr="00166171">
        <w:rPr>
          <w:rFonts w:ascii="Times New Roman" w:hAnsi="Times New Roman" w:cs="Times New Roman"/>
          <w:b/>
          <w:i/>
          <w:sz w:val="24"/>
          <w:szCs w:val="24"/>
          <w:lang w:val="en-US"/>
        </w:rPr>
        <w:lastRenderedPageBreak/>
        <w:t xml:space="preserve">Adherence </w:t>
      </w:r>
      <w:r w:rsidR="00B356B5">
        <w:rPr>
          <w:rFonts w:ascii="Times New Roman" w:hAnsi="Times New Roman" w:cs="Times New Roman"/>
          <w:b/>
          <w:i/>
          <w:sz w:val="24"/>
          <w:szCs w:val="24"/>
          <w:lang w:val="en-US"/>
        </w:rPr>
        <w:t xml:space="preserve">with the </w:t>
      </w:r>
      <w:r w:rsidRPr="00166171">
        <w:rPr>
          <w:rFonts w:ascii="Times New Roman" w:hAnsi="Times New Roman" w:cs="Times New Roman"/>
          <w:b/>
          <w:i/>
          <w:sz w:val="24"/>
          <w:szCs w:val="24"/>
          <w:lang w:val="en-US"/>
        </w:rPr>
        <w:t xml:space="preserve">request not to </w:t>
      </w:r>
      <w:r w:rsidR="00B356B5">
        <w:rPr>
          <w:rFonts w:ascii="Times New Roman" w:hAnsi="Times New Roman" w:cs="Times New Roman"/>
          <w:b/>
          <w:i/>
          <w:sz w:val="24"/>
          <w:szCs w:val="24"/>
          <w:lang w:val="en-US"/>
        </w:rPr>
        <w:t xml:space="preserve">undertake </w:t>
      </w:r>
      <w:r w:rsidRPr="00166171">
        <w:rPr>
          <w:rFonts w:ascii="Times New Roman" w:hAnsi="Times New Roman" w:cs="Times New Roman"/>
          <w:b/>
          <w:i/>
          <w:sz w:val="24"/>
          <w:szCs w:val="24"/>
          <w:lang w:val="en-US"/>
        </w:rPr>
        <w:t>lifestyle</w:t>
      </w:r>
      <w:r w:rsidR="00B356B5">
        <w:rPr>
          <w:rFonts w:ascii="Times New Roman" w:hAnsi="Times New Roman" w:cs="Times New Roman"/>
          <w:b/>
          <w:i/>
          <w:sz w:val="24"/>
          <w:szCs w:val="24"/>
          <w:lang w:val="en-US"/>
        </w:rPr>
        <w:t xml:space="preserve"> change</w:t>
      </w:r>
      <w:r w:rsidRPr="00166171">
        <w:rPr>
          <w:rFonts w:ascii="Times New Roman" w:hAnsi="Times New Roman" w:cs="Times New Roman"/>
          <w:b/>
          <w:i/>
          <w:sz w:val="24"/>
          <w:szCs w:val="24"/>
          <w:lang w:val="en-US"/>
        </w:rPr>
        <w:t xml:space="preserve"> outside intervention sessions</w:t>
      </w:r>
      <w:r w:rsidRPr="00166171">
        <w:rPr>
          <w:rFonts w:ascii="Times New Roman" w:hAnsi="Times New Roman" w:cs="Times New Roman"/>
          <w:sz w:val="24"/>
          <w:szCs w:val="24"/>
          <w:lang w:val="en-US"/>
        </w:rPr>
        <w:t xml:space="preserve"> </w:t>
      </w:r>
    </w:p>
    <w:p w:rsidR="009E332F" w:rsidRDefault="009E332F" w:rsidP="00166171">
      <w:pPr>
        <w:spacing w:line="360" w:lineRule="auto"/>
        <w:rPr>
          <w:rFonts w:ascii="Times New Roman" w:hAnsi="Times New Roman" w:cs="Times New Roman"/>
          <w:sz w:val="24"/>
          <w:szCs w:val="24"/>
          <w:lang w:val="en-US"/>
        </w:rPr>
      </w:pPr>
      <w:r w:rsidRPr="00166171">
        <w:rPr>
          <w:rFonts w:ascii="Times New Roman" w:hAnsi="Times New Roman" w:cs="Times New Roman"/>
          <w:sz w:val="24"/>
          <w:szCs w:val="24"/>
          <w:lang w:val="en-US"/>
        </w:rPr>
        <w:t>Participants were requested not to change their food quality or quantity and not to alter their usual physical activities.  Change in food intake, including total daily energy intake, was assessed by comparing results from a four day food diary before and upon completion of the study. The dietitian reviewed diaries with participants at the exit assessment then undertook nutritional analysis using nutritional software (</w:t>
      </w:r>
      <w:proofErr w:type="spellStart"/>
      <w:r w:rsidRPr="00166171">
        <w:rPr>
          <w:rFonts w:ascii="Times New Roman" w:hAnsi="Times New Roman" w:cs="Times New Roman"/>
          <w:sz w:val="24"/>
          <w:szCs w:val="24"/>
          <w:lang w:val="en-US"/>
        </w:rPr>
        <w:t>FoodWorks</w:t>
      </w:r>
      <w:proofErr w:type="spellEnd"/>
      <w:r w:rsidR="00166171" w:rsidRPr="00370448">
        <w:rPr>
          <w:rFonts w:ascii="Times New Roman" w:hAnsi="Times New Roman" w:cs="Times New Roman"/>
          <w:sz w:val="24"/>
          <w:szCs w:val="24"/>
          <w:vertAlign w:val="superscript"/>
          <w:lang w:val="en-US"/>
        </w:rPr>
        <w:t>®</w:t>
      </w:r>
      <w:r w:rsidRPr="00166171">
        <w:rPr>
          <w:rFonts w:ascii="Times New Roman" w:hAnsi="Times New Roman" w:cs="Times New Roman"/>
          <w:sz w:val="24"/>
          <w:szCs w:val="24"/>
          <w:lang w:val="en-US"/>
        </w:rPr>
        <w:t xml:space="preserve"> Professional 2009, www.xyris.com.au). </w:t>
      </w:r>
      <w:r w:rsidR="00370448">
        <w:rPr>
          <w:rFonts w:ascii="Times New Roman" w:hAnsi="Times New Roman" w:cs="Times New Roman"/>
          <w:sz w:val="24"/>
          <w:szCs w:val="24"/>
          <w:lang w:val="en-US"/>
        </w:rPr>
        <w:t xml:space="preserve"> Pedometers were used to </w:t>
      </w:r>
      <w:r w:rsidR="00370448" w:rsidRPr="00166171">
        <w:rPr>
          <w:rFonts w:ascii="Times New Roman" w:hAnsi="Times New Roman" w:cs="Times New Roman"/>
          <w:sz w:val="24"/>
          <w:szCs w:val="24"/>
          <w:lang w:val="en-US"/>
        </w:rPr>
        <w:t>determine whether there were any group differences in incidental activity</w:t>
      </w:r>
      <w:r w:rsidR="00370448">
        <w:rPr>
          <w:rFonts w:ascii="Times New Roman" w:hAnsi="Times New Roman" w:cs="Times New Roman"/>
          <w:sz w:val="24"/>
          <w:szCs w:val="24"/>
          <w:lang w:val="en-US"/>
        </w:rPr>
        <w:t xml:space="preserve"> occurring outside the prescribed exercise sessions</w:t>
      </w:r>
      <w:r w:rsidR="00370448" w:rsidRPr="00166171">
        <w:rPr>
          <w:rFonts w:ascii="Times New Roman" w:hAnsi="Times New Roman" w:cs="Times New Roman"/>
          <w:sz w:val="24"/>
          <w:szCs w:val="24"/>
          <w:lang w:val="en-US"/>
        </w:rPr>
        <w:t xml:space="preserve"> that might confound interpretation of group differences in </w:t>
      </w:r>
      <w:r w:rsidR="00370448" w:rsidRPr="00166171">
        <w:rPr>
          <w:rFonts w:ascii="Times New Roman" w:hAnsi="Times New Roman" w:cs="Times New Roman"/>
          <w:position w:val="-6"/>
          <w:sz w:val="24"/>
          <w:szCs w:val="24"/>
          <w:lang w:val="en-US"/>
        </w:rPr>
        <w:object w:dxaOrig="260" w:dyaOrig="320">
          <v:shape id="_x0000_i1026" type="#_x0000_t75" style="width:9pt;height:15.75pt" o:ole="">
            <v:imagedata r:id="rId7" o:title=""/>
          </v:shape>
          <o:OLEObject Type="Embed" ProgID="Equation.3" ShapeID="_x0000_i1026" DrawAspect="Content" ObjectID="_1446965619" r:id="rId10"/>
        </w:object>
      </w:r>
      <w:r w:rsidR="00370448" w:rsidRPr="00166171">
        <w:rPr>
          <w:rFonts w:ascii="Times New Roman" w:hAnsi="Times New Roman" w:cs="Times New Roman"/>
          <w:sz w:val="24"/>
          <w:szCs w:val="24"/>
          <w:lang w:val="en-US"/>
        </w:rPr>
        <w:t>O</w:t>
      </w:r>
      <w:r w:rsidR="00370448" w:rsidRPr="00166171">
        <w:rPr>
          <w:rFonts w:ascii="Times New Roman" w:hAnsi="Times New Roman" w:cs="Times New Roman"/>
          <w:sz w:val="24"/>
          <w:szCs w:val="24"/>
          <w:vertAlign w:val="subscript"/>
          <w:lang w:val="en-US"/>
        </w:rPr>
        <w:t>2max</w:t>
      </w:r>
      <w:r w:rsidR="00370448" w:rsidRPr="00166171">
        <w:rPr>
          <w:rFonts w:ascii="Times New Roman" w:hAnsi="Times New Roman" w:cs="Times New Roman"/>
          <w:sz w:val="24"/>
          <w:szCs w:val="24"/>
          <w:lang w:val="en-US"/>
        </w:rPr>
        <w:t xml:space="preserve">. </w:t>
      </w:r>
      <w:r w:rsidRPr="00166171">
        <w:rPr>
          <w:rFonts w:ascii="Times New Roman" w:hAnsi="Times New Roman" w:cs="Times New Roman"/>
          <w:sz w:val="24"/>
          <w:szCs w:val="24"/>
          <w:lang w:val="en-US"/>
        </w:rPr>
        <w:t xml:space="preserve"> </w:t>
      </w:r>
      <w:r w:rsidR="00370448">
        <w:rPr>
          <w:rFonts w:ascii="Times New Roman" w:hAnsi="Times New Roman" w:cs="Times New Roman"/>
          <w:sz w:val="24"/>
          <w:szCs w:val="24"/>
          <w:lang w:val="en-US"/>
        </w:rPr>
        <w:t xml:space="preserve">Participants recorded pedometer data </w:t>
      </w:r>
      <w:r w:rsidRPr="00166171">
        <w:rPr>
          <w:rFonts w:ascii="Times New Roman" w:hAnsi="Times New Roman" w:cs="Times New Roman"/>
          <w:sz w:val="24"/>
          <w:szCs w:val="24"/>
          <w:lang w:val="en-US"/>
        </w:rPr>
        <w:t xml:space="preserve">over a one week period at week 5-6 and again at week 11-12. </w:t>
      </w:r>
      <w:r w:rsidR="0091590E">
        <w:rPr>
          <w:rFonts w:ascii="Times New Roman" w:hAnsi="Times New Roman" w:cs="Times New Roman"/>
          <w:sz w:val="24"/>
          <w:szCs w:val="24"/>
          <w:lang w:val="en-US"/>
        </w:rPr>
        <w:t xml:space="preserve">Participants were instructed to wear their pedometers at all times over the 7 days of pedometer data collection, except for the led exercise sessions and any water based activities. </w:t>
      </w:r>
    </w:p>
    <w:p w:rsidR="000F6AD5" w:rsidRPr="00166171" w:rsidRDefault="000F6AD5" w:rsidP="00166171">
      <w:pPr>
        <w:spacing w:line="360" w:lineRule="auto"/>
        <w:rPr>
          <w:rFonts w:ascii="Times New Roman" w:hAnsi="Times New Roman" w:cs="Times New Roman"/>
          <w:sz w:val="24"/>
          <w:szCs w:val="24"/>
          <w:lang w:val="en-US"/>
        </w:rPr>
      </w:pPr>
    </w:p>
    <w:p w:rsidR="009E332F" w:rsidRPr="00166171" w:rsidRDefault="009E332F" w:rsidP="00166171">
      <w:pPr>
        <w:spacing w:line="360" w:lineRule="auto"/>
        <w:rPr>
          <w:rFonts w:ascii="Times New Roman" w:hAnsi="Times New Roman" w:cs="Times New Roman"/>
          <w:b/>
          <w:i/>
          <w:sz w:val="24"/>
          <w:szCs w:val="24"/>
          <w:lang w:val="en-US"/>
        </w:rPr>
      </w:pPr>
      <w:r w:rsidRPr="00166171">
        <w:rPr>
          <w:rFonts w:ascii="Times New Roman" w:hAnsi="Times New Roman" w:cs="Times New Roman"/>
          <w:b/>
          <w:i/>
          <w:sz w:val="24"/>
          <w:szCs w:val="24"/>
          <w:lang w:val="en-US"/>
        </w:rPr>
        <w:t xml:space="preserve">Monitoring of Adverse </w:t>
      </w:r>
      <w:r w:rsidR="00B356B5">
        <w:rPr>
          <w:rFonts w:ascii="Times New Roman" w:hAnsi="Times New Roman" w:cs="Times New Roman"/>
          <w:b/>
          <w:i/>
          <w:sz w:val="24"/>
          <w:szCs w:val="24"/>
          <w:lang w:val="en-US"/>
        </w:rPr>
        <w:t>E</w:t>
      </w:r>
      <w:r w:rsidRPr="00166171">
        <w:rPr>
          <w:rFonts w:ascii="Times New Roman" w:hAnsi="Times New Roman" w:cs="Times New Roman"/>
          <w:b/>
          <w:i/>
          <w:sz w:val="24"/>
          <w:szCs w:val="24"/>
          <w:lang w:val="en-US"/>
        </w:rPr>
        <w:t>vents / Harms</w:t>
      </w:r>
    </w:p>
    <w:p w:rsidR="009E332F" w:rsidRDefault="009E332F" w:rsidP="00166171">
      <w:pPr>
        <w:spacing w:line="360" w:lineRule="auto"/>
        <w:rPr>
          <w:rFonts w:ascii="Times New Roman" w:hAnsi="Times New Roman" w:cs="Times New Roman"/>
          <w:sz w:val="24"/>
          <w:szCs w:val="24"/>
          <w:lang w:val="en-US"/>
        </w:rPr>
      </w:pPr>
      <w:r w:rsidRPr="00166171">
        <w:rPr>
          <w:rFonts w:ascii="Times New Roman" w:hAnsi="Times New Roman" w:cs="Times New Roman"/>
          <w:sz w:val="24"/>
          <w:szCs w:val="24"/>
          <w:lang w:val="en-US"/>
        </w:rPr>
        <w:t>There are no agreed criteria for the reporting of harm</w:t>
      </w:r>
      <w:r w:rsidR="00370448">
        <w:rPr>
          <w:rFonts w:ascii="Times New Roman" w:hAnsi="Times New Roman" w:cs="Times New Roman"/>
          <w:sz w:val="24"/>
          <w:szCs w:val="24"/>
          <w:lang w:val="en-US"/>
        </w:rPr>
        <w:t>s (adverse events)</w:t>
      </w:r>
      <w:r w:rsidRPr="00166171">
        <w:rPr>
          <w:rFonts w:ascii="Times New Roman" w:hAnsi="Times New Roman" w:cs="Times New Roman"/>
          <w:sz w:val="24"/>
          <w:szCs w:val="24"/>
          <w:lang w:val="en-US"/>
        </w:rPr>
        <w:t xml:space="preserve"> in exercise studies.</w:t>
      </w:r>
      <w:r w:rsidRPr="00166171">
        <w:rPr>
          <w:rFonts w:ascii="Times New Roman" w:hAnsi="Times New Roman" w:cs="Times New Roman"/>
          <w:sz w:val="24"/>
          <w:szCs w:val="24"/>
          <w:vertAlign w:val="superscript"/>
          <w:lang w:val="en-US"/>
        </w:rPr>
        <w:t>1</w:t>
      </w:r>
      <w:proofErr w:type="gramStart"/>
      <w:r w:rsidRPr="00166171">
        <w:rPr>
          <w:rFonts w:ascii="Times New Roman" w:hAnsi="Times New Roman" w:cs="Times New Roman"/>
          <w:sz w:val="24"/>
          <w:szCs w:val="24"/>
          <w:vertAlign w:val="superscript"/>
          <w:lang w:val="en-US"/>
        </w:rPr>
        <w:t>,2</w:t>
      </w:r>
      <w:proofErr w:type="gramEnd"/>
      <w:r w:rsidRPr="00166171">
        <w:rPr>
          <w:rFonts w:ascii="Times New Roman" w:hAnsi="Times New Roman" w:cs="Times New Roman"/>
          <w:sz w:val="24"/>
          <w:szCs w:val="24"/>
          <w:lang w:val="en-US"/>
        </w:rPr>
        <w:t xml:space="preserve">   Data on minor, transient harm may be difficult to capture as it may include self-limiting discomfit due to introduction of the exercise program as well as early manifestations of exercise injury.  A pragmatic decision was therefore made to record all injuries potentially related to the study interventions. Participants completed a questionnaire at week 2 or 3 of the study, focusing on physical symptoms. Exercise group leaders kept a diary of reasons for non</w:t>
      </w:r>
      <w:r w:rsidR="00A46FF5">
        <w:rPr>
          <w:rFonts w:ascii="Times New Roman" w:hAnsi="Times New Roman" w:cs="Times New Roman"/>
          <w:sz w:val="24"/>
          <w:szCs w:val="24"/>
          <w:lang w:val="en-US"/>
        </w:rPr>
        <w:t>-</w:t>
      </w:r>
      <w:r w:rsidRPr="00166171">
        <w:rPr>
          <w:rFonts w:ascii="Times New Roman" w:hAnsi="Times New Roman" w:cs="Times New Roman"/>
          <w:sz w:val="24"/>
          <w:szCs w:val="24"/>
          <w:lang w:val="en-US"/>
        </w:rPr>
        <w:t>attendance at group sessions, including possible injuries and they reported harms to the supervising exercise physiologist. Persistent or significant symptoms were reported to the physician for further evaluation, including possible relatedness to the individual’s exercise</w:t>
      </w:r>
      <w:r w:rsidR="00370448">
        <w:rPr>
          <w:rFonts w:ascii="Times New Roman" w:hAnsi="Times New Roman" w:cs="Times New Roman"/>
          <w:sz w:val="24"/>
          <w:szCs w:val="24"/>
          <w:lang w:val="en-US"/>
        </w:rPr>
        <w:t xml:space="preserve"> prescription</w:t>
      </w:r>
      <w:r w:rsidRPr="00166171">
        <w:rPr>
          <w:rFonts w:ascii="Times New Roman" w:hAnsi="Times New Roman" w:cs="Times New Roman"/>
          <w:sz w:val="24"/>
          <w:szCs w:val="24"/>
          <w:lang w:val="en-US"/>
        </w:rPr>
        <w:t xml:space="preserve">. </w:t>
      </w:r>
      <w:r w:rsidR="00370448">
        <w:rPr>
          <w:rFonts w:ascii="Times New Roman" w:hAnsi="Times New Roman" w:cs="Times New Roman"/>
          <w:sz w:val="24"/>
          <w:szCs w:val="24"/>
          <w:lang w:val="en-US"/>
        </w:rPr>
        <w:t xml:space="preserve">Participants were reminded not to discuss their group allocation with the physician. </w:t>
      </w:r>
      <w:r w:rsidRPr="00166171">
        <w:rPr>
          <w:rFonts w:ascii="Times New Roman" w:hAnsi="Times New Roman" w:cs="Times New Roman"/>
          <w:sz w:val="24"/>
          <w:szCs w:val="24"/>
          <w:lang w:val="en-US"/>
        </w:rPr>
        <w:t xml:space="preserve">The physician also reviewed possible additional harm and injury at each participant’s exit assessment. The section of the SF36 reporting body pain was used as a further measure of harm. </w:t>
      </w:r>
    </w:p>
    <w:p w:rsidR="000F6AD5" w:rsidRPr="00166171" w:rsidRDefault="000F6AD5" w:rsidP="00166171">
      <w:pPr>
        <w:spacing w:line="360" w:lineRule="auto"/>
        <w:rPr>
          <w:rFonts w:ascii="Times New Roman" w:hAnsi="Times New Roman" w:cs="Times New Roman"/>
          <w:sz w:val="24"/>
          <w:szCs w:val="24"/>
          <w:lang w:val="en-US"/>
        </w:rPr>
      </w:pPr>
    </w:p>
    <w:p w:rsidR="009E332F" w:rsidRPr="00166171" w:rsidRDefault="009E332F" w:rsidP="00166171">
      <w:pPr>
        <w:spacing w:line="360" w:lineRule="auto"/>
        <w:rPr>
          <w:rFonts w:ascii="Times New Roman" w:hAnsi="Times New Roman" w:cs="Times New Roman"/>
          <w:b/>
          <w:i/>
          <w:sz w:val="24"/>
          <w:szCs w:val="24"/>
          <w:lang w:val="en-US"/>
        </w:rPr>
      </w:pPr>
      <w:r w:rsidRPr="00166171">
        <w:rPr>
          <w:rFonts w:ascii="Times New Roman" w:hAnsi="Times New Roman" w:cs="Times New Roman"/>
          <w:b/>
          <w:i/>
          <w:sz w:val="24"/>
          <w:szCs w:val="24"/>
          <w:lang w:val="en-US"/>
        </w:rPr>
        <w:t>Blinding of clinical assessors to details of the exercise prescription</w:t>
      </w:r>
    </w:p>
    <w:p w:rsidR="009E332F" w:rsidRDefault="009E332F" w:rsidP="00166171">
      <w:pPr>
        <w:spacing w:line="360" w:lineRule="auto"/>
        <w:rPr>
          <w:rFonts w:ascii="Times New Roman" w:hAnsi="Times New Roman" w:cs="Times New Roman"/>
          <w:sz w:val="24"/>
          <w:szCs w:val="24"/>
          <w:lang w:val="en-US"/>
        </w:rPr>
      </w:pPr>
      <w:r w:rsidRPr="00166171">
        <w:rPr>
          <w:rFonts w:ascii="Times New Roman" w:hAnsi="Times New Roman" w:cs="Times New Roman"/>
          <w:sz w:val="24"/>
          <w:szCs w:val="24"/>
          <w:lang w:val="en-US"/>
        </w:rPr>
        <w:lastRenderedPageBreak/>
        <w:t xml:space="preserve">The </w:t>
      </w:r>
      <w:r w:rsidR="00A46FF5">
        <w:rPr>
          <w:rFonts w:ascii="Times New Roman" w:hAnsi="Times New Roman" w:cs="Times New Roman"/>
          <w:sz w:val="24"/>
          <w:szCs w:val="24"/>
          <w:lang w:val="en-US"/>
        </w:rPr>
        <w:t>P</w:t>
      </w:r>
      <w:r w:rsidRPr="00166171">
        <w:rPr>
          <w:rFonts w:ascii="Times New Roman" w:hAnsi="Times New Roman" w:cs="Times New Roman"/>
          <w:sz w:val="24"/>
          <w:szCs w:val="24"/>
          <w:lang w:val="en-US"/>
        </w:rPr>
        <w:t xml:space="preserve">articipant </w:t>
      </w:r>
      <w:r w:rsidR="00A46FF5">
        <w:rPr>
          <w:rFonts w:ascii="Times New Roman" w:hAnsi="Times New Roman" w:cs="Times New Roman"/>
          <w:sz w:val="24"/>
          <w:szCs w:val="24"/>
          <w:lang w:val="en-US"/>
        </w:rPr>
        <w:t>I</w:t>
      </w:r>
      <w:r w:rsidRPr="00166171">
        <w:rPr>
          <w:rFonts w:ascii="Times New Roman" w:hAnsi="Times New Roman" w:cs="Times New Roman"/>
          <w:sz w:val="24"/>
          <w:szCs w:val="24"/>
          <w:lang w:val="en-US"/>
        </w:rPr>
        <w:t xml:space="preserve">nformation </w:t>
      </w:r>
      <w:r w:rsidR="00A46FF5">
        <w:rPr>
          <w:rFonts w:ascii="Times New Roman" w:hAnsi="Times New Roman" w:cs="Times New Roman"/>
          <w:sz w:val="24"/>
          <w:szCs w:val="24"/>
          <w:lang w:val="en-US"/>
        </w:rPr>
        <w:t>S</w:t>
      </w:r>
      <w:r w:rsidRPr="00166171">
        <w:rPr>
          <w:rFonts w:ascii="Times New Roman" w:hAnsi="Times New Roman" w:cs="Times New Roman"/>
          <w:sz w:val="24"/>
          <w:szCs w:val="24"/>
          <w:lang w:val="en-US"/>
        </w:rPr>
        <w:t xml:space="preserve">heet excluded details of exercise load and number of repetitions inherent in the three exercise prescriptions, </w:t>
      </w:r>
      <w:r w:rsidR="00370448">
        <w:rPr>
          <w:rFonts w:ascii="Times New Roman" w:hAnsi="Times New Roman" w:cs="Times New Roman"/>
          <w:sz w:val="24"/>
          <w:szCs w:val="24"/>
          <w:lang w:val="en-US"/>
        </w:rPr>
        <w:t>WALK</w:t>
      </w:r>
      <w:r w:rsidRPr="00166171">
        <w:rPr>
          <w:rFonts w:ascii="Times New Roman" w:hAnsi="Times New Roman" w:cs="Times New Roman"/>
          <w:sz w:val="24"/>
          <w:szCs w:val="24"/>
          <w:lang w:val="en-US"/>
        </w:rPr>
        <w:t xml:space="preserve">, </w:t>
      </w:r>
      <w:r w:rsidR="00370448">
        <w:rPr>
          <w:rFonts w:ascii="Times New Roman" w:hAnsi="Times New Roman" w:cs="Times New Roman"/>
          <w:sz w:val="24"/>
          <w:szCs w:val="24"/>
          <w:lang w:val="en-US"/>
        </w:rPr>
        <w:t>AIT</w:t>
      </w:r>
      <w:r w:rsidRPr="00166171">
        <w:rPr>
          <w:rFonts w:ascii="Times New Roman" w:hAnsi="Times New Roman" w:cs="Times New Roman"/>
          <w:sz w:val="24"/>
          <w:szCs w:val="24"/>
          <w:lang w:val="en-US"/>
        </w:rPr>
        <w:t xml:space="preserve"> and MVIT. Participants received these details from the exercise physiologists at their first supervised exercise session but the clinical assessors (physician, nurses, dietitian) did not have access to these details until database lock had been achieved, thus ensuring blinding of these assessors.</w:t>
      </w:r>
    </w:p>
    <w:p w:rsidR="005C4824" w:rsidRDefault="005C4824" w:rsidP="00166171">
      <w:pPr>
        <w:spacing w:line="360" w:lineRule="auto"/>
        <w:rPr>
          <w:rFonts w:ascii="Times New Roman" w:hAnsi="Times New Roman" w:cs="Times New Roman"/>
          <w:sz w:val="24"/>
          <w:szCs w:val="24"/>
          <w:lang w:val="en-US"/>
        </w:rPr>
      </w:pPr>
    </w:p>
    <w:p w:rsidR="009E332F" w:rsidRPr="00166171" w:rsidRDefault="009E332F" w:rsidP="00166171">
      <w:pPr>
        <w:spacing w:line="360" w:lineRule="auto"/>
        <w:rPr>
          <w:rFonts w:ascii="Times New Roman" w:hAnsi="Times New Roman" w:cs="Times New Roman"/>
          <w:b/>
          <w:i/>
          <w:sz w:val="24"/>
          <w:szCs w:val="24"/>
          <w:lang w:val="en-US"/>
        </w:rPr>
      </w:pPr>
      <w:r w:rsidRPr="00166171">
        <w:rPr>
          <w:rFonts w:ascii="Times New Roman" w:hAnsi="Times New Roman" w:cs="Times New Roman"/>
          <w:b/>
          <w:i/>
          <w:sz w:val="24"/>
          <w:szCs w:val="24"/>
          <w:lang w:val="en-US"/>
        </w:rPr>
        <w:t>References</w:t>
      </w:r>
    </w:p>
    <w:p w:rsidR="007554FD" w:rsidRPr="00166171" w:rsidRDefault="007554FD" w:rsidP="00166171">
      <w:pPr>
        <w:pStyle w:val="ListParagraph"/>
        <w:numPr>
          <w:ilvl w:val="0"/>
          <w:numId w:val="1"/>
        </w:numPr>
        <w:spacing w:before="100" w:beforeAutospacing="1" w:after="100" w:afterAutospacing="1" w:line="360" w:lineRule="auto"/>
        <w:outlineLvl w:val="1"/>
        <w:rPr>
          <w:rFonts w:ascii="Times New Roman" w:hAnsi="Times New Roman"/>
          <w:b/>
          <w:sz w:val="24"/>
          <w:szCs w:val="24"/>
          <w:lang w:val="en-US"/>
        </w:rPr>
      </w:pPr>
      <w:proofErr w:type="spellStart"/>
      <w:r w:rsidRPr="00166171">
        <w:rPr>
          <w:rFonts w:ascii="Times New Roman" w:hAnsi="Times New Roman"/>
          <w:sz w:val="24"/>
          <w:szCs w:val="24"/>
          <w:lang w:val="en-US"/>
        </w:rPr>
        <w:t>Janney</w:t>
      </w:r>
      <w:proofErr w:type="spellEnd"/>
      <w:r w:rsidRPr="00166171">
        <w:rPr>
          <w:rFonts w:ascii="Times New Roman" w:hAnsi="Times New Roman"/>
          <w:sz w:val="24"/>
          <w:szCs w:val="24"/>
          <w:lang w:val="en-US"/>
        </w:rPr>
        <w:t xml:space="preserve"> CA, </w:t>
      </w:r>
      <w:proofErr w:type="spellStart"/>
      <w:r w:rsidRPr="00166171">
        <w:rPr>
          <w:rFonts w:ascii="Times New Roman" w:hAnsi="Times New Roman"/>
          <w:sz w:val="24"/>
          <w:szCs w:val="24"/>
          <w:lang w:val="en-US"/>
        </w:rPr>
        <w:t>Jakicic</w:t>
      </w:r>
      <w:proofErr w:type="spellEnd"/>
      <w:r w:rsidRPr="00166171">
        <w:rPr>
          <w:rFonts w:ascii="Times New Roman" w:hAnsi="Times New Roman"/>
          <w:sz w:val="24"/>
          <w:szCs w:val="24"/>
          <w:lang w:val="en-US"/>
        </w:rPr>
        <w:t xml:space="preserve"> JM. </w:t>
      </w:r>
      <w:r w:rsidR="005173AF">
        <w:rPr>
          <w:rFonts w:ascii="Times New Roman" w:hAnsi="Times New Roman"/>
          <w:sz w:val="24"/>
          <w:szCs w:val="24"/>
          <w:lang w:val="en-US"/>
        </w:rPr>
        <w:t xml:space="preserve">(2011) </w:t>
      </w:r>
      <w:proofErr w:type="gramStart"/>
      <w:r w:rsidRPr="00166171">
        <w:rPr>
          <w:rFonts w:ascii="Times New Roman" w:hAnsi="Times New Roman"/>
          <w:sz w:val="24"/>
          <w:szCs w:val="24"/>
          <w:lang w:val="en-US"/>
        </w:rPr>
        <w:t>The</w:t>
      </w:r>
      <w:proofErr w:type="gramEnd"/>
      <w:r w:rsidRPr="00166171">
        <w:rPr>
          <w:rFonts w:ascii="Times New Roman" w:hAnsi="Times New Roman"/>
          <w:sz w:val="24"/>
          <w:szCs w:val="24"/>
          <w:lang w:val="en-US"/>
        </w:rPr>
        <w:t xml:space="preserve"> influence of exercise and BMI on injuries and illnesses in overweight and obese individu</w:t>
      </w:r>
      <w:r w:rsidRPr="00166171">
        <w:rPr>
          <w:rFonts w:ascii="Times New Roman" w:hAnsi="Times New Roman"/>
          <w:bCs/>
          <w:sz w:val="24"/>
          <w:szCs w:val="24"/>
          <w:lang w:val="en-US"/>
        </w:rPr>
        <w:t>als: a r</w:t>
      </w:r>
      <w:r w:rsidRPr="00166171">
        <w:rPr>
          <w:rFonts w:ascii="Times New Roman" w:hAnsi="Times New Roman"/>
          <w:sz w:val="24"/>
          <w:szCs w:val="24"/>
          <w:lang w:val="en-US"/>
        </w:rPr>
        <w:t>a</w:t>
      </w:r>
      <w:r w:rsidRPr="00166171">
        <w:rPr>
          <w:rFonts w:ascii="Times New Roman" w:hAnsi="Times New Roman"/>
          <w:bCs/>
          <w:sz w:val="24"/>
          <w:szCs w:val="24"/>
          <w:lang w:val="en-US"/>
        </w:rPr>
        <w:t>ndom</w:t>
      </w:r>
      <w:r w:rsidRPr="00166171">
        <w:rPr>
          <w:rFonts w:ascii="Times New Roman" w:hAnsi="Times New Roman"/>
          <w:sz w:val="24"/>
          <w:szCs w:val="24"/>
          <w:lang w:val="en-US"/>
        </w:rPr>
        <w:t xml:space="preserve">ized control trial. </w:t>
      </w:r>
      <w:proofErr w:type="spellStart"/>
      <w:r w:rsidRPr="005173AF">
        <w:rPr>
          <w:rFonts w:ascii="Times New Roman" w:hAnsi="Times New Roman"/>
          <w:sz w:val="24"/>
          <w:szCs w:val="24"/>
          <w:lang w:val="en-US"/>
        </w:rPr>
        <w:t>Int</w:t>
      </w:r>
      <w:proofErr w:type="spellEnd"/>
      <w:r w:rsidRPr="005173AF">
        <w:rPr>
          <w:rFonts w:ascii="Times New Roman" w:hAnsi="Times New Roman"/>
          <w:sz w:val="24"/>
          <w:szCs w:val="24"/>
          <w:lang w:val="en-US"/>
        </w:rPr>
        <w:t xml:space="preserve"> J </w:t>
      </w:r>
      <w:proofErr w:type="spellStart"/>
      <w:r w:rsidRPr="005173AF">
        <w:rPr>
          <w:rFonts w:ascii="Times New Roman" w:hAnsi="Times New Roman"/>
          <w:sz w:val="24"/>
          <w:szCs w:val="24"/>
          <w:lang w:val="en-US"/>
        </w:rPr>
        <w:t>Behav</w:t>
      </w:r>
      <w:proofErr w:type="spellEnd"/>
      <w:r w:rsidRPr="005173AF">
        <w:rPr>
          <w:rFonts w:ascii="Times New Roman" w:hAnsi="Times New Roman"/>
          <w:sz w:val="24"/>
          <w:szCs w:val="24"/>
          <w:lang w:val="en-US"/>
        </w:rPr>
        <w:t xml:space="preserve"> </w:t>
      </w:r>
      <w:proofErr w:type="spellStart"/>
      <w:r w:rsidRPr="005173AF">
        <w:rPr>
          <w:rFonts w:ascii="Times New Roman" w:hAnsi="Times New Roman"/>
          <w:sz w:val="24"/>
          <w:szCs w:val="24"/>
          <w:lang w:val="en-US"/>
        </w:rPr>
        <w:t>Nutr</w:t>
      </w:r>
      <w:proofErr w:type="spellEnd"/>
      <w:r w:rsidRPr="005173AF">
        <w:rPr>
          <w:rFonts w:ascii="Times New Roman" w:hAnsi="Times New Roman"/>
          <w:sz w:val="24"/>
          <w:szCs w:val="24"/>
          <w:lang w:val="en-US"/>
        </w:rPr>
        <w:t xml:space="preserve"> </w:t>
      </w:r>
      <w:proofErr w:type="spellStart"/>
      <w:r w:rsidRPr="005173AF">
        <w:rPr>
          <w:rFonts w:ascii="Times New Roman" w:hAnsi="Times New Roman"/>
          <w:sz w:val="24"/>
          <w:szCs w:val="24"/>
          <w:lang w:val="en-US"/>
        </w:rPr>
        <w:t>Phys</w:t>
      </w:r>
      <w:proofErr w:type="spellEnd"/>
      <w:r w:rsidRPr="005173AF">
        <w:rPr>
          <w:rFonts w:ascii="Times New Roman" w:hAnsi="Times New Roman"/>
          <w:sz w:val="24"/>
          <w:szCs w:val="24"/>
          <w:lang w:val="en-US"/>
        </w:rPr>
        <w:t xml:space="preserve"> Act</w:t>
      </w:r>
      <w:r w:rsidR="00FB43AF">
        <w:rPr>
          <w:rFonts w:ascii="Times New Roman" w:hAnsi="Times New Roman"/>
          <w:sz w:val="24"/>
          <w:szCs w:val="24"/>
          <w:lang w:val="en-US"/>
        </w:rPr>
        <w:t xml:space="preserve">. </w:t>
      </w:r>
      <w:r w:rsidRPr="00166171">
        <w:rPr>
          <w:rFonts w:ascii="Times New Roman" w:hAnsi="Times New Roman"/>
          <w:i/>
          <w:sz w:val="24"/>
          <w:szCs w:val="24"/>
          <w:lang w:val="en-US"/>
        </w:rPr>
        <w:t xml:space="preserve"> </w:t>
      </w:r>
      <w:proofErr w:type="spellStart"/>
      <w:r w:rsidR="005173AF" w:rsidRPr="005173AF">
        <w:rPr>
          <w:rFonts w:ascii="Times New Roman" w:hAnsi="Times New Roman"/>
          <w:sz w:val="24"/>
          <w:szCs w:val="24"/>
          <w:shd w:val="clear" w:color="auto" w:fill="FFFFFF"/>
        </w:rPr>
        <w:t>D</w:t>
      </w:r>
      <w:r w:rsidR="00FB43AF">
        <w:rPr>
          <w:rFonts w:ascii="Times New Roman" w:hAnsi="Times New Roman"/>
          <w:sz w:val="24"/>
          <w:szCs w:val="24"/>
          <w:shd w:val="clear" w:color="auto" w:fill="FFFFFF"/>
        </w:rPr>
        <w:t>oi</w:t>
      </w:r>
      <w:proofErr w:type="spellEnd"/>
      <w:r w:rsidR="005173AF" w:rsidRPr="005173AF">
        <w:rPr>
          <w:rFonts w:ascii="Times New Roman" w:hAnsi="Times New Roman"/>
          <w:sz w:val="24"/>
          <w:szCs w:val="24"/>
          <w:shd w:val="clear" w:color="auto" w:fill="FFFFFF"/>
        </w:rPr>
        <w:t>: 10.1186/1479-5868-7-1</w:t>
      </w:r>
      <w:r w:rsidR="005173AF" w:rsidRPr="005173AF">
        <w:rPr>
          <w:rFonts w:ascii="Times New Roman" w:hAnsi="Times New Roman"/>
          <w:sz w:val="24"/>
          <w:szCs w:val="24"/>
          <w:lang w:val="en-US"/>
        </w:rPr>
        <w:t>.</w:t>
      </w:r>
    </w:p>
    <w:p w:rsidR="007554FD" w:rsidRPr="00FB43AF" w:rsidRDefault="007554FD" w:rsidP="00166171">
      <w:pPr>
        <w:pStyle w:val="ListParagraph"/>
        <w:numPr>
          <w:ilvl w:val="0"/>
          <w:numId w:val="1"/>
        </w:numPr>
        <w:spacing w:after="0" w:line="360" w:lineRule="auto"/>
        <w:rPr>
          <w:rFonts w:ascii="Times New Roman" w:hAnsi="Times New Roman"/>
          <w:sz w:val="24"/>
          <w:szCs w:val="24"/>
          <w:lang w:val="en-US"/>
        </w:rPr>
      </w:pPr>
      <w:r w:rsidRPr="00FB43AF">
        <w:rPr>
          <w:rFonts w:ascii="Times New Roman" w:hAnsi="Times New Roman"/>
          <w:sz w:val="24"/>
          <w:szCs w:val="24"/>
          <w:lang w:val="en-US"/>
        </w:rPr>
        <w:t xml:space="preserve">Goodrich DE, </w:t>
      </w:r>
      <w:r w:rsidRPr="00FB43AF">
        <w:rPr>
          <w:rFonts w:ascii="Times New Roman" w:hAnsi="Times New Roman"/>
          <w:sz w:val="24"/>
          <w:szCs w:val="24"/>
          <w:lang w:val="en-US" w:eastAsia="en-NZ"/>
        </w:rPr>
        <w:t>L</w:t>
      </w:r>
      <w:r w:rsidRPr="00FB43AF">
        <w:rPr>
          <w:rFonts w:ascii="Times New Roman" w:hAnsi="Times New Roman"/>
          <w:sz w:val="24"/>
          <w:szCs w:val="24"/>
          <w:lang w:val="en-US"/>
        </w:rPr>
        <w:t xml:space="preserve">arkin AR, Lowery J, </w:t>
      </w:r>
      <w:proofErr w:type="spellStart"/>
      <w:r w:rsidRPr="00FB43AF">
        <w:rPr>
          <w:rFonts w:ascii="Times New Roman" w:hAnsi="Times New Roman"/>
          <w:sz w:val="24"/>
          <w:szCs w:val="24"/>
          <w:lang w:val="en-US"/>
        </w:rPr>
        <w:t>Holleman</w:t>
      </w:r>
      <w:proofErr w:type="spellEnd"/>
      <w:r w:rsidRPr="00FB43AF">
        <w:rPr>
          <w:rFonts w:ascii="Times New Roman" w:hAnsi="Times New Roman"/>
          <w:sz w:val="24"/>
          <w:szCs w:val="24"/>
          <w:lang w:val="en-US"/>
        </w:rPr>
        <w:t xml:space="preserve"> RG, Richardson CR</w:t>
      </w:r>
      <w:r w:rsidRPr="00FB43AF">
        <w:rPr>
          <w:rFonts w:ascii="Times New Roman" w:hAnsi="Times New Roman"/>
          <w:i/>
          <w:sz w:val="24"/>
          <w:szCs w:val="24"/>
          <w:lang w:val="en-US"/>
        </w:rPr>
        <w:t xml:space="preserve">. </w:t>
      </w:r>
      <w:r w:rsidR="005173AF" w:rsidRPr="00FB43AF">
        <w:rPr>
          <w:rFonts w:ascii="Times New Roman" w:hAnsi="Times New Roman"/>
          <w:sz w:val="24"/>
          <w:szCs w:val="24"/>
          <w:lang w:val="en-US"/>
        </w:rPr>
        <w:t xml:space="preserve">(2007) </w:t>
      </w:r>
      <w:proofErr w:type="gramStart"/>
      <w:r w:rsidRPr="00FB43AF">
        <w:rPr>
          <w:rFonts w:ascii="Times New Roman" w:hAnsi="Times New Roman"/>
          <w:sz w:val="24"/>
          <w:szCs w:val="24"/>
          <w:lang w:val="en-US"/>
        </w:rPr>
        <w:t>Adverse</w:t>
      </w:r>
      <w:proofErr w:type="gramEnd"/>
      <w:r w:rsidRPr="00FB43AF">
        <w:rPr>
          <w:rFonts w:ascii="Times New Roman" w:hAnsi="Times New Roman"/>
          <w:sz w:val="24"/>
          <w:szCs w:val="24"/>
          <w:lang w:val="en-US"/>
        </w:rPr>
        <w:t xml:space="preserve"> events among high-risk participants in a home-based walking study: a descriptive study.  </w:t>
      </w:r>
      <w:proofErr w:type="spellStart"/>
      <w:r w:rsidRPr="00FB43AF">
        <w:rPr>
          <w:rFonts w:ascii="Times New Roman" w:hAnsi="Times New Roman"/>
          <w:sz w:val="24"/>
          <w:szCs w:val="24"/>
          <w:lang w:val="en-US"/>
        </w:rPr>
        <w:t>Int</w:t>
      </w:r>
      <w:proofErr w:type="spellEnd"/>
      <w:r w:rsidRPr="00FB43AF">
        <w:rPr>
          <w:rFonts w:ascii="Times New Roman" w:hAnsi="Times New Roman"/>
          <w:sz w:val="24"/>
          <w:szCs w:val="24"/>
          <w:lang w:val="en-US"/>
        </w:rPr>
        <w:t xml:space="preserve"> J </w:t>
      </w:r>
      <w:proofErr w:type="spellStart"/>
      <w:r w:rsidRPr="00FB43AF">
        <w:rPr>
          <w:rFonts w:ascii="Times New Roman" w:hAnsi="Times New Roman"/>
          <w:sz w:val="24"/>
          <w:szCs w:val="24"/>
          <w:lang w:val="en-US"/>
        </w:rPr>
        <w:t>Behav</w:t>
      </w:r>
      <w:proofErr w:type="spellEnd"/>
      <w:r w:rsidRPr="00FB43AF">
        <w:rPr>
          <w:rFonts w:ascii="Times New Roman" w:hAnsi="Times New Roman"/>
          <w:sz w:val="24"/>
          <w:szCs w:val="24"/>
          <w:lang w:val="en-US"/>
        </w:rPr>
        <w:t xml:space="preserve"> </w:t>
      </w:r>
      <w:proofErr w:type="spellStart"/>
      <w:r w:rsidRPr="00FB43AF">
        <w:rPr>
          <w:rFonts w:ascii="Times New Roman" w:hAnsi="Times New Roman"/>
          <w:sz w:val="24"/>
          <w:szCs w:val="24"/>
          <w:lang w:val="en-US"/>
        </w:rPr>
        <w:t>Nutr</w:t>
      </w:r>
      <w:proofErr w:type="spellEnd"/>
      <w:r w:rsidRPr="00FB43AF">
        <w:rPr>
          <w:rFonts w:ascii="Times New Roman" w:hAnsi="Times New Roman"/>
          <w:sz w:val="24"/>
          <w:szCs w:val="24"/>
          <w:lang w:val="en-US"/>
        </w:rPr>
        <w:t xml:space="preserve"> </w:t>
      </w:r>
      <w:proofErr w:type="spellStart"/>
      <w:r w:rsidRPr="00FB43AF">
        <w:rPr>
          <w:rFonts w:ascii="Times New Roman" w:hAnsi="Times New Roman"/>
          <w:sz w:val="24"/>
          <w:szCs w:val="24"/>
          <w:lang w:val="en-US"/>
        </w:rPr>
        <w:t>Phys</w:t>
      </w:r>
      <w:proofErr w:type="spellEnd"/>
      <w:r w:rsidRPr="00FB43AF">
        <w:rPr>
          <w:rFonts w:ascii="Times New Roman" w:hAnsi="Times New Roman"/>
          <w:sz w:val="24"/>
          <w:szCs w:val="24"/>
          <w:lang w:val="en-US"/>
        </w:rPr>
        <w:t xml:space="preserve"> Act. </w:t>
      </w:r>
      <w:r w:rsidR="00FB43AF">
        <w:rPr>
          <w:rStyle w:val="apple-converted-space"/>
          <w:rFonts w:ascii="Arial" w:hAnsi="Arial" w:cs="Arial"/>
          <w:color w:val="000000"/>
          <w:sz w:val="17"/>
          <w:szCs w:val="17"/>
          <w:bdr w:val="none" w:sz="0" w:space="0" w:color="auto" w:frame="1"/>
          <w:shd w:val="clear" w:color="auto" w:fill="FFFFFF"/>
        </w:rPr>
        <w:t> </w:t>
      </w:r>
      <w:proofErr w:type="spellStart"/>
      <w:r w:rsidR="00FB43AF" w:rsidRPr="00FB43AF">
        <w:rPr>
          <w:rStyle w:val="apple-converted-space"/>
          <w:rFonts w:ascii="Times New Roman" w:hAnsi="Times New Roman"/>
          <w:sz w:val="24"/>
          <w:szCs w:val="24"/>
          <w:bdr w:val="none" w:sz="0" w:space="0" w:color="auto" w:frame="1"/>
          <w:shd w:val="clear" w:color="auto" w:fill="FFFFFF"/>
        </w:rPr>
        <w:t>D</w:t>
      </w:r>
      <w:r w:rsidR="00FB43AF" w:rsidRPr="00FB43AF">
        <w:rPr>
          <w:rStyle w:val="doi"/>
          <w:rFonts w:ascii="Times New Roman" w:hAnsi="Times New Roman"/>
          <w:sz w:val="24"/>
          <w:szCs w:val="24"/>
          <w:bdr w:val="none" w:sz="0" w:space="0" w:color="auto" w:frame="1"/>
          <w:shd w:val="clear" w:color="auto" w:fill="FFFFFF"/>
        </w:rPr>
        <w:t>oi</w:t>
      </w:r>
      <w:proofErr w:type="spellEnd"/>
      <w:r w:rsidR="00FB43AF" w:rsidRPr="00FB43AF">
        <w:rPr>
          <w:rStyle w:val="doi"/>
          <w:rFonts w:ascii="Times New Roman" w:hAnsi="Times New Roman"/>
          <w:sz w:val="24"/>
          <w:szCs w:val="24"/>
          <w:bdr w:val="none" w:sz="0" w:space="0" w:color="auto" w:frame="1"/>
          <w:shd w:val="clear" w:color="auto" w:fill="FFFFFF"/>
        </w:rPr>
        <w:t>: </w:t>
      </w:r>
      <w:hyperlink r:id="rId11" w:tgtFrame="pmc_ext" w:history="1">
        <w:r w:rsidR="00FB43AF" w:rsidRPr="00FB43AF">
          <w:rPr>
            <w:rStyle w:val="Hyperlink"/>
            <w:rFonts w:ascii="Times New Roman" w:hAnsi="Times New Roman"/>
            <w:color w:val="auto"/>
            <w:sz w:val="24"/>
            <w:szCs w:val="24"/>
            <w:u w:val="none"/>
            <w:bdr w:val="none" w:sz="0" w:space="0" w:color="auto" w:frame="1"/>
            <w:shd w:val="clear" w:color="auto" w:fill="FFFFFF"/>
          </w:rPr>
          <w:t>10.1186/1479-5868-4-20</w:t>
        </w:r>
      </w:hyperlink>
    </w:p>
    <w:p w:rsidR="009E332F" w:rsidRPr="00166171" w:rsidRDefault="009E332F" w:rsidP="00166171">
      <w:pPr>
        <w:spacing w:line="360" w:lineRule="auto"/>
        <w:rPr>
          <w:rFonts w:ascii="Times New Roman" w:hAnsi="Times New Roman" w:cs="Times New Roman"/>
          <w:sz w:val="24"/>
          <w:szCs w:val="24"/>
          <w:lang w:val="en-US"/>
        </w:rPr>
      </w:pPr>
    </w:p>
    <w:p w:rsidR="009E332F" w:rsidRPr="00166171" w:rsidRDefault="009E332F" w:rsidP="00166171">
      <w:pPr>
        <w:spacing w:line="360" w:lineRule="auto"/>
        <w:rPr>
          <w:rFonts w:ascii="Times New Roman" w:hAnsi="Times New Roman" w:cs="Times New Roman"/>
          <w:sz w:val="24"/>
          <w:szCs w:val="24"/>
        </w:rPr>
      </w:pPr>
    </w:p>
    <w:sectPr w:rsidR="009E332F" w:rsidRPr="00166171" w:rsidSect="001B699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D0" w:rsidRDefault="00C506D0" w:rsidP="00770BA1">
      <w:pPr>
        <w:spacing w:after="0" w:line="240" w:lineRule="auto"/>
      </w:pPr>
      <w:r>
        <w:separator/>
      </w:r>
    </w:p>
  </w:endnote>
  <w:endnote w:type="continuationSeparator" w:id="0">
    <w:p w:rsidR="00C506D0" w:rsidRDefault="00C506D0" w:rsidP="0077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89844"/>
      <w:docPartObj>
        <w:docPartGallery w:val="Page Numbers (Bottom of Page)"/>
        <w:docPartUnique/>
      </w:docPartObj>
    </w:sdtPr>
    <w:sdtEndPr/>
    <w:sdtContent>
      <w:p w:rsidR="00C506D0" w:rsidRDefault="00A46FF5">
        <w:pPr>
          <w:pStyle w:val="Footer"/>
          <w:jc w:val="center"/>
        </w:pPr>
        <w:r>
          <w:fldChar w:fldCharType="begin"/>
        </w:r>
        <w:r>
          <w:instrText xml:space="preserve"> PAGE   \* MERGEFORMAT </w:instrText>
        </w:r>
        <w:r>
          <w:fldChar w:fldCharType="separate"/>
        </w:r>
        <w:r w:rsidR="00F64D8A">
          <w:rPr>
            <w:noProof/>
          </w:rPr>
          <w:t>3</w:t>
        </w:r>
        <w:r>
          <w:rPr>
            <w:noProof/>
          </w:rPr>
          <w:fldChar w:fldCharType="end"/>
        </w:r>
      </w:p>
    </w:sdtContent>
  </w:sdt>
  <w:p w:rsidR="00C506D0" w:rsidRDefault="00C50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D0" w:rsidRDefault="00C506D0" w:rsidP="00770BA1">
      <w:pPr>
        <w:spacing w:after="0" w:line="240" w:lineRule="auto"/>
      </w:pPr>
      <w:r>
        <w:separator/>
      </w:r>
    </w:p>
  </w:footnote>
  <w:footnote w:type="continuationSeparator" w:id="0">
    <w:p w:rsidR="00C506D0" w:rsidRDefault="00C506D0" w:rsidP="00770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47463"/>
    <w:multiLevelType w:val="hybridMultilevel"/>
    <w:tmpl w:val="9C469056"/>
    <w:lvl w:ilvl="0" w:tplc="AE9ABA82">
      <w:start w:val="1"/>
      <w:numFmt w:val="decimal"/>
      <w:lvlText w:val="%1."/>
      <w:lvlJc w:val="left"/>
      <w:pPr>
        <w:ind w:left="360" w:hanging="360"/>
      </w:pPr>
      <w:rPr>
        <w:rFonts w:cs="Times New Roman"/>
        <w:b w:val="0"/>
      </w:rPr>
    </w:lvl>
    <w:lvl w:ilvl="1" w:tplc="14090019" w:tentative="1">
      <w:start w:val="1"/>
      <w:numFmt w:val="lowerLetter"/>
      <w:lvlText w:val="%2."/>
      <w:lvlJc w:val="left"/>
      <w:pPr>
        <w:ind w:left="1364" w:hanging="360"/>
      </w:pPr>
      <w:rPr>
        <w:rFonts w:cs="Times New Roman"/>
      </w:rPr>
    </w:lvl>
    <w:lvl w:ilvl="2" w:tplc="1409001B" w:tentative="1">
      <w:start w:val="1"/>
      <w:numFmt w:val="lowerRoman"/>
      <w:lvlText w:val="%3."/>
      <w:lvlJc w:val="right"/>
      <w:pPr>
        <w:ind w:left="2084" w:hanging="180"/>
      </w:pPr>
      <w:rPr>
        <w:rFonts w:cs="Times New Roman"/>
      </w:rPr>
    </w:lvl>
    <w:lvl w:ilvl="3" w:tplc="1409000F" w:tentative="1">
      <w:start w:val="1"/>
      <w:numFmt w:val="decimal"/>
      <w:lvlText w:val="%4."/>
      <w:lvlJc w:val="left"/>
      <w:pPr>
        <w:ind w:left="2804" w:hanging="360"/>
      </w:pPr>
      <w:rPr>
        <w:rFonts w:cs="Times New Roman"/>
      </w:rPr>
    </w:lvl>
    <w:lvl w:ilvl="4" w:tplc="14090019" w:tentative="1">
      <w:start w:val="1"/>
      <w:numFmt w:val="lowerLetter"/>
      <w:lvlText w:val="%5."/>
      <w:lvlJc w:val="left"/>
      <w:pPr>
        <w:ind w:left="3524" w:hanging="360"/>
      </w:pPr>
      <w:rPr>
        <w:rFonts w:cs="Times New Roman"/>
      </w:rPr>
    </w:lvl>
    <w:lvl w:ilvl="5" w:tplc="1409001B" w:tentative="1">
      <w:start w:val="1"/>
      <w:numFmt w:val="lowerRoman"/>
      <w:lvlText w:val="%6."/>
      <w:lvlJc w:val="right"/>
      <w:pPr>
        <w:ind w:left="4244" w:hanging="180"/>
      </w:pPr>
      <w:rPr>
        <w:rFonts w:cs="Times New Roman"/>
      </w:rPr>
    </w:lvl>
    <w:lvl w:ilvl="6" w:tplc="1409000F" w:tentative="1">
      <w:start w:val="1"/>
      <w:numFmt w:val="decimal"/>
      <w:lvlText w:val="%7."/>
      <w:lvlJc w:val="left"/>
      <w:pPr>
        <w:ind w:left="4964" w:hanging="360"/>
      </w:pPr>
      <w:rPr>
        <w:rFonts w:cs="Times New Roman"/>
      </w:rPr>
    </w:lvl>
    <w:lvl w:ilvl="7" w:tplc="14090019" w:tentative="1">
      <w:start w:val="1"/>
      <w:numFmt w:val="lowerLetter"/>
      <w:lvlText w:val="%8."/>
      <w:lvlJc w:val="left"/>
      <w:pPr>
        <w:ind w:left="5684" w:hanging="360"/>
      </w:pPr>
      <w:rPr>
        <w:rFonts w:cs="Times New Roman"/>
      </w:rPr>
    </w:lvl>
    <w:lvl w:ilvl="8" w:tplc="140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F1"/>
    <w:rsid w:val="000C4A05"/>
    <w:rsid w:val="000D7B8C"/>
    <w:rsid w:val="000F6AD5"/>
    <w:rsid w:val="00166171"/>
    <w:rsid w:val="001B699A"/>
    <w:rsid w:val="001C3386"/>
    <w:rsid w:val="002B2FAD"/>
    <w:rsid w:val="00370448"/>
    <w:rsid w:val="004849CD"/>
    <w:rsid w:val="00486FF1"/>
    <w:rsid w:val="00491545"/>
    <w:rsid w:val="005173AF"/>
    <w:rsid w:val="0052346F"/>
    <w:rsid w:val="005C4824"/>
    <w:rsid w:val="0063601D"/>
    <w:rsid w:val="007554FD"/>
    <w:rsid w:val="00770BA1"/>
    <w:rsid w:val="00814386"/>
    <w:rsid w:val="00886AAA"/>
    <w:rsid w:val="0091590E"/>
    <w:rsid w:val="00924D04"/>
    <w:rsid w:val="009519DD"/>
    <w:rsid w:val="009D64E1"/>
    <w:rsid w:val="009E332F"/>
    <w:rsid w:val="00A46FF5"/>
    <w:rsid w:val="00A77F5F"/>
    <w:rsid w:val="00AB2B5B"/>
    <w:rsid w:val="00B356B5"/>
    <w:rsid w:val="00C506D0"/>
    <w:rsid w:val="00CA7CA5"/>
    <w:rsid w:val="00CE410C"/>
    <w:rsid w:val="00D14955"/>
    <w:rsid w:val="00D60F49"/>
    <w:rsid w:val="00E5460F"/>
    <w:rsid w:val="00E56668"/>
    <w:rsid w:val="00E633FD"/>
    <w:rsid w:val="00E81832"/>
    <w:rsid w:val="00ED62F8"/>
    <w:rsid w:val="00F64D8A"/>
    <w:rsid w:val="00F8772E"/>
    <w:rsid w:val="00FB43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A221715-F908-4D21-9A6C-D917CC7E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332F"/>
    <w:rPr>
      <w:rFonts w:cs="Times New Roman"/>
      <w:color w:val="0000FF"/>
      <w:u w:val="single"/>
    </w:rPr>
  </w:style>
  <w:style w:type="paragraph" w:customStyle="1" w:styleId="yiv256516197msonormal">
    <w:name w:val="yiv256516197msonormal"/>
    <w:basedOn w:val="Normal"/>
    <w:uiPriority w:val="99"/>
    <w:rsid w:val="009E332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99"/>
    <w:qFormat/>
    <w:rsid w:val="007554FD"/>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770B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BA1"/>
  </w:style>
  <w:style w:type="paragraph" w:styleId="Footer">
    <w:name w:val="footer"/>
    <w:basedOn w:val="Normal"/>
    <w:link w:val="FooterChar"/>
    <w:uiPriority w:val="99"/>
    <w:unhideWhenUsed/>
    <w:rsid w:val="0077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BA1"/>
  </w:style>
  <w:style w:type="character" w:customStyle="1" w:styleId="apple-converted-space">
    <w:name w:val="apple-converted-space"/>
    <w:basedOn w:val="DefaultParagraphFont"/>
    <w:rsid w:val="00FB43AF"/>
  </w:style>
  <w:style w:type="character" w:customStyle="1" w:styleId="doi">
    <w:name w:val="doi"/>
    <w:basedOn w:val="DefaultParagraphFont"/>
    <w:rsid w:val="00FB43AF"/>
  </w:style>
  <w:style w:type="paragraph" w:styleId="BalloonText">
    <w:name w:val="Balloon Text"/>
    <w:basedOn w:val="Normal"/>
    <w:link w:val="BalloonTextChar"/>
    <w:uiPriority w:val="99"/>
    <w:semiHidden/>
    <w:unhideWhenUsed/>
    <w:rsid w:val="001C3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86%2F1479-5868-4-20"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csep.ca/english/view.asp?x=6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giantown</dc:creator>
  <cp:lastModifiedBy>Helen Lunt</cp:lastModifiedBy>
  <cp:revision>2</cp:revision>
  <dcterms:created xsi:type="dcterms:W3CDTF">2013-11-25T21:07:00Z</dcterms:created>
  <dcterms:modified xsi:type="dcterms:W3CDTF">2013-11-25T21:07:00Z</dcterms:modified>
</cp:coreProperties>
</file>