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DA297" w14:textId="77777777" w:rsidR="00E55820" w:rsidRDefault="00E55820" w:rsidP="00E55820">
      <w:pPr>
        <w:spacing w:line="480" w:lineRule="auto"/>
        <w:ind w:left="720" w:right="720"/>
        <w:jc w:val="center"/>
        <w:rPr>
          <w:b/>
          <w:sz w:val="28"/>
          <w:szCs w:val="28"/>
        </w:rPr>
      </w:pPr>
      <w:r>
        <w:rPr>
          <w:b/>
          <w:sz w:val="28"/>
          <w:szCs w:val="28"/>
        </w:rPr>
        <w:t>Supplementary Information</w:t>
      </w:r>
    </w:p>
    <w:p w14:paraId="29B34C01" w14:textId="77777777" w:rsidR="00E55820" w:rsidRDefault="00E55820" w:rsidP="00E55820">
      <w:pPr>
        <w:spacing w:line="480" w:lineRule="auto"/>
        <w:ind w:left="720" w:right="720"/>
        <w:jc w:val="center"/>
        <w:rPr>
          <w:b/>
          <w:sz w:val="28"/>
          <w:szCs w:val="28"/>
        </w:rPr>
      </w:pPr>
      <w:r>
        <w:rPr>
          <w:b/>
          <w:sz w:val="28"/>
          <w:szCs w:val="28"/>
        </w:rPr>
        <w:t xml:space="preserve">Metabolomics of the tumor microenvironment in pediatric acute lymphoblastic leukemia </w:t>
      </w:r>
    </w:p>
    <w:p w14:paraId="5E779CCD" w14:textId="77777777" w:rsidR="00E55820" w:rsidRDefault="00E55820" w:rsidP="00E55820">
      <w:pPr>
        <w:spacing w:line="480" w:lineRule="auto"/>
        <w:ind w:left="720" w:right="720"/>
        <w:rPr>
          <w:b/>
          <w:sz w:val="28"/>
          <w:szCs w:val="28"/>
        </w:rPr>
      </w:pPr>
    </w:p>
    <w:p w14:paraId="2DC74787" w14:textId="77777777" w:rsidR="00E55820" w:rsidRDefault="00E55820" w:rsidP="00E55820">
      <w:pPr>
        <w:spacing w:line="480" w:lineRule="auto"/>
        <w:ind w:left="720" w:right="720"/>
        <w:rPr>
          <w:bCs/>
        </w:rPr>
      </w:pPr>
      <w:r>
        <w:rPr>
          <w:bCs/>
        </w:rPr>
        <w:t>Stefano Tiziani, Yunyi Kang, Ricky Harjanto, Joshua Axelrod, Carlo Piermarocchi, William Roberts, Giovanni Paternostro</w:t>
      </w:r>
    </w:p>
    <w:p w14:paraId="510FE4D4" w14:textId="77777777" w:rsidR="0025320D" w:rsidRDefault="0025320D" w:rsidP="00E55820">
      <w:pPr>
        <w:spacing w:line="480" w:lineRule="auto"/>
        <w:ind w:left="720" w:right="720"/>
        <w:rPr>
          <w:bCs/>
        </w:rPr>
      </w:pPr>
    </w:p>
    <w:p w14:paraId="69CA6A3C" w14:textId="77777777" w:rsidR="0025320D" w:rsidRDefault="0025320D" w:rsidP="0025320D">
      <w:pPr>
        <w:spacing w:after="0" w:line="480" w:lineRule="auto"/>
        <w:ind w:left="720" w:right="720"/>
        <w:jc w:val="both"/>
        <w:outlineLvl w:val="0"/>
        <w:rPr>
          <w:b/>
        </w:rPr>
      </w:pPr>
      <w:r>
        <w:rPr>
          <w:b/>
        </w:rPr>
        <w:t>Results</w:t>
      </w:r>
    </w:p>
    <w:p w14:paraId="155A7C1B" w14:textId="77777777" w:rsidR="0025320D" w:rsidRDefault="0025320D" w:rsidP="0025320D">
      <w:pPr>
        <w:spacing w:after="0" w:line="480" w:lineRule="auto"/>
        <w:ind w:left="720" w:right="720"/>
        <w:jc w:val="both"/>
        <w:outlineLvl w:val="0"/>
        <w:rPr>
          <w:b/>
        </w:rPr>
      </w:pPr>
      <w:r>
        <w:rPr>
          <w:b/>
        </w:rPr>
        <w:t>Metabolomic differences between standard culture media and the ALL BM microenvironment</w:t>
      </w:r>
    </w:p>
    <w:p w14:paraId="4B57D865" w14:textId="77777777" w:rsidR="0025320D" w:rsidRDefault="0025320D" w:rsidP="0025320D">
      <w:pPr>
        <w:spacing w:after="0" w:line="480" w:lineRule="auto"/>
        <w:ind w:left="720" w:right="720"/>
        <w:jc w:val="both"/>
      </w:pPr>
      <w:r>
        <w:t xml:space="preserve">One of the goals of metabolomics is to help define optimal </w:t>
      </w:r>
      <w:r>
        <w:rPr>
          <w:i/>
        </w:rPr>
        <w:t>in vitro</w:t>
      </w:r>
      <w:r>
        <w:t xml:space="preserve"> conditions for drug sensitivity testing of tumors, particularly with patient-derived primary cancer cells. To analyze the differences between the primary tumor niche </w:t>
      </w:r>
      <w:r>
        <w:rPr>
          <w:i/>
        </w:rPr>
        <w:t>in vivo</w:t>
      </w:r>
      <w:r>
        <w:t xml:space="preserve"> and the most common culture medium, we characterized the metabolome of RPMI/10% FBS, the most common </w:t>
      </w:r>
      <w:r>
        <w:rPr>
          <w:i/>
        </w:rPr>
        <w:t>in vitro</w:t>
      </w:r>
      <w:r>
        <w:t xml:space="preserve"> culture media used for leukemic cell lines and primary cells, and BM extracellular fluid of ALL patients at the time of diagnosis (</w:t>
      </w:r>
      <w:r w:rsidRPr="0025320D">
        <w:rPr>
          <w:b/>
        </w:rPr>
        <w:t>Figure S1</w:t>
      </w:r>
      <w:r>
        <w:t>).We found striking differences in the metabolic content of the samples, even though the analyses were performed with the same technique (MRS analysis).</w:t>
      </w:r>
    </w:p>
    <w:p w14:paraId="04158A90" w14:textId="77777777" w:rsidR="0025320D" w:rsidRDefault="0025320D" w:rsidP="0025320D">
      <w:pPr>
        <w:spacing w:after="0" w:line="480" w:lineRule="auto"/>
        <w:ind w:left="720" w:right="720"/>
        <w:jc w:val="both"/>
        <w:rPr>
          <w:b/>
        </w:rPr>
      </w:pPr>
    </w:p>
    <w:p w14:paraId="4971710E" w14:textId="77777777" w:rsidR="0025320D" w:rsidRDefault="0025320D" w:rsidP="0025320D">
      <w:pPr>
        <w:spacing w:after="0" w:line="480" w:lineRule="auto"/>
        <w:ind w:left="720" w:right="720"/>
        <w:jc w:val="both"/>
        <w:rPr>
          <w:b/>
        </w:rPr>
      </w:pPr>
      <w:r>
        <w:rPr>
          <w:b/>
        </w:rPr>
        <w:t>Metabolite profiling of BM in response to chemotherapy (B0 vs B29)</w:t>
      </w:r>
    </w:p>
    <w:p w14:paraId="200B0F83" w14:textId="77777777" w:rsidR="0025320D" w:rsidRDefault="0025320D" w:rsidP="0025320D">
      <w:pPr>
        <w:spacing w:after="0" w:line="480" w:lineRule="auto"/>
        <w:ind w:left="720" w:right="720" w:firstLine="720"/>
        <w:jc w:val="both"/>
        <w:rPr>
          <w:shd w:val="clear" w:color="auto" w:fill="FFFFFF"/>
        </w:rPr>
      </w:pPr>
      <w:r>
        <w:t xml:space="preserve">We also investigated the effect of drug therapy on the metabolic response of patients by comparing BM at diagnosis and after 29 days of treatment. Using unsupervised mPCA on the MRS spectra acquired on the polar fractions, we obtained a very strong separation between BM from untreated and treated patients (42.73% on PC1; </w:t>
      </w:r>
      <w:r>
        <w:rPr>
          <w:b/>
        </w:rPr>
        <w:t>Figure S8C and D</w:t>
      </w:r>
      <w:r>
        <w:t>). Significant elevations were observed in 3-hydroxyisovalerate, creatine, pyruvate, glycerol, glycero</w:t>
      </w:r>
      <w:r>
        <w:noBreakHyphen/>
        <w:t>3</w:t>
      </w:r>
      <w:r>
        <w:noBreakHyphen/>
        <w:t xml:space="preserve">phosphocholine, </w:t>
      </w:r>
      <w:r>
        <w:lastRenderedPageBreak/>
        <w:t>sarcosine, and urea between day 0 and day 29, whereas 3-hydroxybutyrate, glucose, formate, and asparagine signals were significantly reduced.</w:t>
      </w:r>
      <w:r>
        <w:rPr>
          <w:shd w:val="clear" w:color="auto" w:fill="FFFFFF"/>
        </w:rPr>
        <w:t xml:space="preserve"> </w:t>
      </w:r>
      <w:r>
        <w:t>mPLS-DA models built on the data from the MRS lipid spectra were assessed for significance by permutation testing of their predictivity (</w:t>
      </w:r>
      <w:r>
        <w:rPr>
          <w:b/>
        </w:rPr>
        <w:t>SI, Figure S11</w:t>
      </w:r>
      <w:r>
        <w:t xml:space="preserve">). Significant treatment-induced changes were observed for free cholesterol, cholesterol esters, plasmalogen, and saturated and unsaturated FFAs. </w:t>
      </w:r>
      <w:r>
        <w:rPr>
          <w:shd w:val="clear" w:color="auto" w:fill="FFFFFF"/>
        </w:rPr>
        <w:t>Thirty-five metabolites were identified with p-values p &lt; 0.05, which was reduced to 30 with pFDR &lt;10% and 26 with pFDR &lt;5% (</w:t>
      </w:r>
      <w:r>
        <w:rPr>
          <w:b/>
          <w:shd w:val="clear" w:color="auto" w:fill="FFFFFF"/>
        </w:rPr>
        <w:t>SI</w:t>
      </w:r>
      <w:r>
        <w:rPr>
          <w:b/>
        </w:rPr>
        <w:t>, Figure S12</w:t>
      </w:r>
      <w:r>
        <w:t>)</w:t>
      </w:r>
      <w:r>
        <w:rPr>
          <w:shd w:val="clear" w:color="auto" w:fill="FFFFFF"/>
        </w:rPr>
        <w:t xml:space="preserve">. </w:t>
      </w:r>
    </w:p>
    <w:p w14:paraId="635EDDDE" w14:textId="77777777" w:rsidR="00E55820" w:rsidRDefault="00E55820" w:rsidP="00E55820">
      <w:pPr>
        <w:spacing w:line="480" w:lineRule="auto"/>
        <w:ind w:left="720" w:right="720"/>
        <w:rPr>
          <w:bCs/>
          <w:vertAlign w:val="superscript"/>
        </w:rPr>
      </w:pPr>
    </w:p>
    <w:p w14:paraId="49728037" w14:textId="77777777" w:rsidR="0025320D" w:rsidRDefault="0025320D" w:rsidP="0025320D">
      <w:pPr>
        <w:spacing w:after="0" w:line="480" w:lineRule="auto"/>
        <w:ind w:left="720" w:right="720"/>
        <w:jc w:val="both"/>
        <w:outlineLvl w:val="0"/>
        <w:rPr>
          <w:b/>
        </w:rPr>
      </w:pPr>
      <w:r>
        <w:rPr>
          <w:b/>
        </w:rPr>
        <w:t>Methods</w:t>
      </w:r>
    </w:p>
    <w:p w14:paraId="48AD8D67" w14:textId="77777777" w:rsidR="00132F63" w:rsidRDefault="00132F63" w:rsidP="00132F63">
      <w:pPr>
        <w:spacing w:after="0" w:line="480" w:lineRule="auto"/>
        <w:ind w:left="720" w:right="720"/>
        <w:jc w:val="both"/>
      </w:pPr>
      <w:r>
        <w:rPr>
          <w:i/>
        </w:rPr>
        <w:t xml:space="preserve">Patient characteristics and sample collection. </w:t>
      </w:r>
      <w:r>
        <w:t xml:space="preserve">Paired BM and PB specimens from 10 children diagnosed with B-ALL were collected at the Rady Children’s Hospital (San Diego, CA). Written </w:t>
      </w:r>
      <w:r>
        <w:rPr>
          <w:rFonts w:cs="WarnockPro-Regular"/>
        </w:rPr>
        <w:t xml:space="preserve">informed consent and parental permission were obtained </w:t>
      </w:r>
      <w:r>
        <w:rPr>
          <w:rFonts w:eastAsia="Batang"/>
          <w:lang w:eastAsia="ko-KR"/>
        </w:rPr>
        <w:t xml:space="preserve">in accordance with Institutional Review Board guidelines. </w:t>
      </w:r>
      <w:r>
        <w:t xml:space="preserve">Patient characteristics are given in </w:t>
      </w:r>
      <w:r>
        <w:rPr>
          <w:b/>
        </w:rPr>
        <w:t>Table 1</w:t>
      </w:r>
      <w:r>
        <w:t>. Patients were treated according to a standard protocol with PEG-</w:t>
      </w:r>
      <w:r>
        <w:rPr>
          <w:smallCaps/>
        </w:rPr>
        <w:t>l</w:t>
      </w:r>
      <w:r>
        <w:t>-asparaginase, vincristine, and a glucocorticoid (prednisolone/prednisone or dexamethasone for children &lt;10 or &gt;10 years of age, respectively). The patients were hospitalized at the beginning of induction therapy (day 0) and released on day 8 of treatment. BM specimens were obtained on day 0 and at the end of induction therapy (day 29). PB specimens were collected on days 0, 8, and 29. Only two patients had positive blast counts on day 8 (B005, 1% and B007, 12%), which corresponded to the minimal residual disease (MRD)-based risk group classification (0.1% ≤ MRD &lt; 1%). Median white blood cell counts at days 0, 8, and 29 were 7.5 × 10</w:t>
      </w:r>
      <w:r>
        <w:rPr>
          <w:vertAlign w:val="superscript"/>
        </w:rPr>
        <w:t>3</w:t>
      </w:r>
      <w:r>
        <w:t>/</w:t>
      </w:r>
      <w:r>
        <w:rPr>
          <w:rFonts w:ascii="Symbol" w:hAnsi="Symbol"/>
        </w:rPr>
        <w:t></w:t>
      </w:r>
      <w:r>
        <w:t>L (range, 4.8–100 × 10</w:t>
      </w:r>
      <w:r>
        <w:rPr>
          <w:vertAlign w:val="superscript"/>
        </w:rPr>
        <w:t>3</w:t>
      </w:r>
      <w:r>
        <w:t>/</w:t>
      </w:r>
      <w:r>
        <w:rPr>
          <w:rFonts w:ascii="Symbol" w:hAnsi="Symbol"/>
        </w:rPr>
        <w:t></w:t>
      </w:r>
      <w:r>
        <w:t>L), 1.2 × 10</w:t>
      </w:r>
      <w:r>
        <w:rPr>
          <w:vertAlign w:val="superscript"/>
        </w:rPr>
        <w:t>3</w:t>
      </w:r>
      <w:r>
        <w:t>/</w:t>
      </w:r>
      <w:r>
        <w:rPr>
          <w:rFonts w:ascii="Symbol" w:hAnsi="Symbol"/>
        </w:rPr>
        <w:t></w:t>
      </w:r>
      <w:r>
        <w:t>L (range, 0.5–2.4 × 10</w:t>
      </w:r>
      <w:r>
        <w:rPr>
          <w:vertAlign w:val="superscript"/>
        </w:rPr>
        <w:t>3</w:t>
      </w:r>
      <w:r>
        <w:t>/</w:t>
      </w:r>
      <w:r>
        <w:rPr>
          <w:rFonts w:ascii="Symbol" w:hAnsi="Symbol"/>
        </w:rPr>
        <w:t></w:t>
      </w:r>
      <w:r>
        <w:t>L), and 5.7 × 10</w:t>
      </w:r>
      <w:r>
        <w:rPr>
          <w:vertAlign w:val="superscript"/>
        </w:rPr>
        <w:t>3</w:t>
      </w:r>
      <w:r>
        <w:t>/</w:t>
      </w:r>
      <w:r>
        <w:rPr>
          <w:rFonts w:ascii="Symbol" w:hAnsi="Symbol"/>
        </w:rPr>
        <w:t></w:t>
      </w:r>
      <w:r>
        <w:t>L (range, 1.9–10 × 10</w:t>
      </w:r>
      <w:r>
        <w:rPr>
          <w:vertAlign w:val="superscript"/>
        </w:rPr>
        <w:t>3</w:t>
      </w:r>
      <w:r>
        <w:t>/</w:t>
      </w:r>
      <w:r>
        <w:rPr>
          <w:rFonts w:ascii="Symbol" w:hAnsi="Symbol"/>
        </w:rPr>
        <w:t></w:t>
      </w:r>
      <w:r>
        <w:t>L), respectively. Each BM sample was immunophenotyped (</w:t>
      </w:r>
      <w:r>
        <w:rPr>
          <w:b/>
        </w:rPr>
        <w:t>Table 1</w:t>
      </w:r>
      <w:r>
        <w:t>). Median percentages on day 0 were: CD10+ 99% (range, 54–100%), CD19+ 98% (range, 38–100%), and CD20+ 26.5% (range, 3–96%). The median percentages on day 29 were CD10+ 2% (range, 1–5%), CD19+ 8% (range, 1–28%), and CD20+ 8% (range, 2–28%), respectively.</w:t>
      </w:r>
    </w:p>
    <w:p w14:paraId="451696F0" w14:textId="77777777" w:rsidR="00132F63" w:rsidRDefault="00132F63" w:rsidP="0025320D">
      <w:pPr>
        <w:spacing w:after="0" w:line="480" w:lineRule="auto"/>
        <w:ind w:left="720" w:right="720"/>
        <w:jc w:val="both"/>
        <w:outlineLvl w:val="0"/>
        <w:rPr>
          <w:b/>
        </w:rPr>
      </w:pPr>
    </w:p>
    <w:p w14:paraId="0EA94BF5" w14:textId="77777777" w:rsidR="0025320D" w:rsidRDefault="0025320D" w:rsidP="0025320D">
      <w:pPr>
        <w:spacing w:after="0" w:line="480" w:lineRule="auto"/>
        <w:ind w:left="720" w:right="720"/>
        <w:jc w:val="both"/>
      </w:pPr>
      <w:r>
        <w:rPr>
          <w:i/>
        </w:rPr>
        <w:t xml:space="preserve">Sample preparation for flow cytometry. </w:t>
      </w:r>
      <w:r>
        <w:t xml:space="preserve">BM specimens were collected in heparin tubes, diluted 1:1 (v/v) with 0.9% NaCl, and maintained at room temperature (RT) until analysis. Cells were stained using a stain/lyse technique. Briefly, BM cells were incubated with the immunophenotyping monoclonal antibodies described below, and red blood cells were then lysed in FACS Lysing Solution (BD Biosciences, San Jose, CA, USA). Cells were washed and resuspended in phosphate buffered saline for analysis. </w:t>
      </w:r>
    </w:p>
    <w:p w14:paraId="0FD3B685" w14:textId="77777777" w:rsidR="0025320D" w:rsidRDefault="0025320D" w:rsidP="0025320D">
      <w:pPr>
        <w:spacing w:after="0" w:line="480" w:lineRule="auto"/>
        <w:ind w:left="720" w:right="720"/>
        <w:jc w:val="both"/>
        <w:rPr>
          <w:color w:val="800000"/>
        </w:rPr>
      </w:pPr>
    </w:p>
    <w:p w14:paraId="480DCEDA" w14:textId="77777777" w:rsidR="0025320D" w:rsidRDefault="0025320D" w:rsidP="0025320D">
      <w:pPr>
        <w:spacing w:after="0" w:line="480" w:lineRule="auto"/>
        <w:ind w:left="720" w:right="720"/>
        <w:jc w:val="both"/>
      </w:pPr>
      <w:r>
        <w:rPr>
          <w:i/>
        </w:rPr>
        <w:t>Immunophenotypic analysis at diagnosis.</w:t>
      </w:r>
      <w:r>
        <w:t xml:space="preserve"> Each BM specimen was stained with a panel of antibodies to confirm the leukemic immunophenotype. Cells were incubated with two combinations of monoclonal antibodies: CD20-FITC/CD10-PE/CD45-PerCP/CD19-APC and CD9-FITC/CD34-PE/CD45-PerCP/CD19-APC (all antibodies from BD Biosciences) and cells were analyzed using a FACSCanto flow cytometer (BD Biosciences). Cells were gated based on CD45 staining versus side scatter and a minimum of 30,000 events were collected. </w:t>
      </w:r>
    </w:p>
    <w:p w14:paraId="54C5666C" w14:textId="77777777" w:rsidR="0025320D" w:rsidRDefault="0025320D" w:rsidP="0025320D">
      <w:pPr>
        <w:spacing w:after="0" w:line="480" w:lineRule="auto"/>
        <w:ind w:left="720" w:right="720"/>
        <w:jc w:val="both"/>
        <w:rPr>
          <w:color w:val="800000"/>
        </w:rPr>
      </w:pPr>
    </w:p>
    <w:p w14:paraId="3173E8A3" w14:textId="77777777" w:rsidR="006B616A" w:rsidRDefault="0025320D" w:rsidP="006B616A">
      <w:pPr>
        <w:spacing w:after="0" w:line="480" w:lineRule="auto"/>
        <w:ind w:left="720" w:right="720"/>
        <w:jc w:val="both"/>
      </w:pPr>
      <w:r>
        <w:rPr>
          <w:i/>
        </w:rPr>
        <w:t>MRD analysis on follow-up specimen.</w:t>
      </w:r>
      <w:r>
        <w:t xml:space="preserve"> MRD analysis was performed on day 29 BM specimens. Cells were stained with the same monoclonal antibody combinations used for immunophenotyping. Cells were gated on the basis of CD19+ staining and 300,000 events were collected. Leukemic cells were identified by their abnormal marker expression and adequate </w:t>
      </w:r>
      <w:r w:rsidRPr="006B616A">
        <w:t xml:space="preserve">distribution characteristics. The percentage of cells with an MRD phenotype was calculated as [(number of cells with abnormal phenotype) / (total number of cells acquired)] × 100. </w:t>
      </w:r>
    </w:p>
    <w:p w14:paraId="4BE210D4" w14:textId="77777777" w:rsidR="006B616A" w:rsidRDefault="006B616A" w:rsidP="006B616A">
      <w:pPr>
        <w:spacing w:after="0" w:line="480" w:lineRule="auto"/>
        <w:ind w:left="720" w:right="720"/>
        <w:jc w:val="both"/>
      </w:pPr>
    </w:p>
    <w:p w14:paraId="5927375A" w14:textId="35CE716C" w:rsidR="006B616A" w:rsidRPr="006B616A" w:rsidRDefault="006B616A" w:rsidP="006B616A">
      <w:pPr>
        <w:spacing w:after="0" w:line="480" w:lineRule="auto"/>
        <w:ind w:left="720" w:right="720"/>
        <w:jc w:val="both"/>
      </w:pPr>
      <w:r>
        <w:rPr>
          <w:i/>
        </w:rPr>
        <w:t>Pathway analysis.</w:t>
      </w:r>
      <w:r>
        <w:rPr>
          <w:bCs/>
        </w:rPr>
        <w:t xml:space="preserve"> </w:t>
      </w:r>
      <w:r w:rsidRPr="006B616A">
        <w:rPr>
          <w:bCs/>
        </w:rPr>
        <w:t>For classification and pathway information</w:t>
      </w:r>
      <w:r>
        <w:rPr>
          <w:bCs/>
        </w:rPr>
        <w:t xml:space="preserve"> of the metabolites in Figure 7A and  7</w:t>
      </w:r>
      <w:r w:rsidRPr="006B616A">
        <w:rPr>
          <w:bCs/>
        </w:rPr>
        <w:t>B, HMDB [1] is the primary database used. Three key attributes of the metabolites are noted from the dat</w:t>
      </w:r>
      <w:r>
        <w:rPr>
          <w:bCs/>
        </w:rPr>
        <w:t>abase and summarized in tables S2 and S3</w:t>
      </w:r>
      <w:r w:rsidRPr="006B616A">
        <w:rPr>
          <w:bCs/>
        </w:rPr>
        <w:t xml:space="preserve">, which are class, subclass and pathways, along with the rank score of the two networks using the PageRank algorithm [2]. The </w:t>
      </w:r>
      <w:r w:rsidRPr="006B616A">
        <w:rPr>
          <w:bCs/>
        </w:rPr>
        <w:lastRenderedPageBreak/>
        <w:t>rank score is computed by calculating the eigenvectors of the adjacency matrix in the PageRank algorithm and the calculation is written in Python. The connection between any two metabolites is considered as a bi-directional linkage. Only the main connected components of the two networks are counted into the algorithm to compute the rank score.</w:t>
      </w:r>
    </w:p>
    <w:p w14:paraId="50834B2A" w14:textId="77777777" w:rsidR="006B616A" w:rsidRPr="006B616A" w:rsidRDefault="006B616A" w:rsidP="006B616A">
      <w:pPr>
        <w:rPr>
          <w:bCs/>
        </w:rPr>
      </w:pPr>
    </w:p>
    <w:p w14:paraId="57E7716F" w14:textId="77777777" w:rsidR="006B616A" w:rsidRPr="006B616A" w:rsidRDefault="006B616A" w:rsidP="006B616A">
      <w:pPr>
        <w:ind w:left="720" w:right="720"/>
        <w:rPr>
          <w:bCs/>
        </w:rPr>
      </w:pPr>
      <w:r w:rsidRPr="006B616A">
        <w:rPr>
          <w:bCs/>
        </w:rPr>
        <w:t>[1] Wishart DS, Jewison T, Guo AC, Wilson M, Knox C, et al., HMDB 3.0—The Human Metabolome Database in 2013. Nucleic Acids Res. 2013. Jan 1;41(D1):D801-7. Pubmed: 23161693</w:t>
      </w:r>
    </w:p>
    <w:p w14:paraId="2B848B53" w14:textId="64F78DBB" w:rsidR="00F62581" w:rsidRPr="006B616A" w:rsidRDefault="006B616A" w:rsidP="006B616A">
      <w:pPr>
        <w:ind w:left="720" w:right="720"/>
        <w:rPr>
          <w:bCs/>
          <w:vertAlign w:val="superscript"/>
        </w:rPr>
      </w:pPr>
      <w:r w:rsidRPr="006B616A">
        <w:rPr>
          <w:bCs/>
        </w:rPr>
        <w:t>[2] Brin, S.; Page, L. (1998). "The anatomy of a large-scale hypertextual Web search engine". Computer Networks and ISDN Systems 30: 107–117. doi:10.1016/S0169-7552(98)00110-X. ISSN 0169-7552</w:t>
      </w:r>
      <w:r w:rsidR="00F62581" w:rsidRPr="006B616A">
        <w:rPr>
          <w:bCs/>
        </w:rPr>
        <w:br w:type="page"/>
      </w:r>
    </w:p>
    <w:p w14:paraId="0FC3A1CE" w14:textId="77777777" w:rsidR="006B616A" w:rsidRDefault="006B616A">
      <w:pPr>
        <w:rPr>
          <w:bCs/>
          <w:vertAlign w:val="superscript"/>
        </w:rPr>
      </w:pPr>
    </w:p>
    <w:p w14:paraId="6E80500A" w14:textId="77777777" w:rsidR="00DA3151" w:rsidRDefault="00DA3151" w:rsidP="0093728A">
      <w:pPr>
        <w:spacing w:after="0" w:line="480" w:lineRule="auto"/>
        <w:ind w:left="720" w:right="720"/>
        <w:jc w:val="both"/>
        <w:rPr>
          <w:rStyle w:val="apple-style-span"/>
          <w:b/>
        </w:rPr>
      </w:pPr>
      <w:r w:rsidRPr="00DA3151">
        <w:rPr>
          <w:rStyle w:val="apple-style-span"/>
          <w:b/>
        </w:rPr>
        <w:t>Supplementary Table</w:t>
      </w:r>
    </w:p>
    <w:p w14:paraId="4348E35D" w14:textId="77777777" w:rsidR="00DA3151" w:rsidRDefault="00DA3151" w:rsidP="00DA3151">
      <w:r>
        <w:rPr>
          <w:noProof/>
        </w:rPr>
        <w:drawing>
          <wp:anchor distT="0" distB="0" distL="114300" distR="114300" simplePos="0" relativeHeight="251659264" behindDoc="0" locked="0" layoutInCell="1" allowOverlap="1" wp14:anchorId="6320CEC3" wp14:editId="7CA904EC">
            <wp:simplePos x="0" y="0"/>
            <wp:positionH relativeFrom="column">
              <wp:posOffset>-46355</wp:posOffset>
            </wp:positionH>
            <wp:positionV relativeFrom="paragraph">
              <wp:posOffset>65405</wp:posOffset>
            </wp:positionV>
            <wp:extent cx="6939280" cy="277876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389" t="34070" r="9306" b="21363"/>
                    <a:stretch>
                      <a:fillRect/>
                    </a:stretch>
                  </pic:blipFill>
                  <pic:spPr bwMode="auto">
                    <a:xfrm>
                      <a:off x="0" y="0"/>
                      <a:ext cx="6939280" cy="2778760"/>
                    </a:xfrm>
                    <a:prstGeom prst="rect">
                      <a:avLst/>
                    </a:prstGeom>
                    <a:noFill/>
                    <a:ln w="9525">
                      <a:noFill/>
                      <a:miter lim="800000"/>
                      <a:headEnd/>
                      <a:tailEnd/>
                    </a:ln>
                  </pic:spPr>
                </pic:pic>
              </a:graphicData>
            </a:graphic>
          </wp:anchor>
        </w:drawing>
      </w:r>
    </w:p>
    <w:p w14:paraId="5E4733F6" w14:textId="77777777" w:rsidR="00DA3151" w:rsidRDefault="00DA3151" w:rsidP="00DA3151">
      <w:pPr>
        <w:spacing w:after="0" w:line="480" w:lineRule="auto"/>
        <w:ind w:left="720" w:right="720"/>
        <w:jc w:val="both"/>
      </w:pPr>
    </w:p>
    <w:p w14:paraId="6CA141A7" w14:textId="77777777" w:rsidR="00DA3151" w:rsidRDefault="00DA3151" w:rsidP="00DA3151"/>
    <w:p w14:paraId="016082FB" w14:textId="77777777" w:rsidR="00DA3151" w:rsidRDefault="00DA3151" w:rsidP="00DA3151"/>
    <w:p w14:paraId="6E8D8C75" w14:textId="77777777" w:rsidR="00DA3151" w:rsidRDefault="00DA3151" w:rsidP="00DA3151"/>
    <w:p w14:paraId="475243F7" w14:textId="77777777" w:rsidR="00DA3151" w:rsidRDefault="00DA3151" w:rsidP="00DA3151">
      <w:pPr>
        <w:outlineLvl w:val="0"/>
        <w:rPr>
          <w:b/>
        </w:rPr>
      </w:pPr>
    </w:p>
    <w:p w14:paraId="3A06297B" w14:textId="77777777" w:rsidR="00DA3151" w:rsidRDefault="00DA3151" w:rsidP="00DA3151">
      <w:pPr>
        <w:outlineLvl w:val="0"/>
        <w:rPr>
          <w:b/>
        </w:rPr>
      </w:pPr>
    </w:p>
    <w:p w14:paraId="197229DB" w14:textId="77777777" w:rsidR="00DA3151" w:rsidRDefault="00DA3151" w:rsidP="00DA3151">
      <w:pPr>
        <w:outlineLvl w:val="0"/>
        <w:rPr>
          <w:b/>
        </w:rPr>
      </w:pPr>
    </w:p>
    <w:p w14:paraId="4BBC65B0" w14:textId="77777777" w:rsidR="00DA3151" w:rsidRDefault="00DA3151" w:rsidP="00DA3151">
      <w:pPr>
        <w:outlineLvl w:val="0"/>
        <w:rPr>
          <w:b/>
        </w:rPr>
      </w:pPr>
    </w:p>
    <w:p w14:paraId="1595F472" w14:textId="77777777" w:rsidR="00DA3151" w:rsidRDefault="00DA3151" w:rsidP="00DA3151">
      <w:pPr>
        <w:outlineLvl w:val="0"/>
      </w:pPr>
      <w:r>
        <w:t>Table S1. Patient demographic and clinical characteristics.</w:t>
      </w:r>
    </w:p>
    <w:p w14:paraId="34CF7548" w14:textId="77777777" w:rsidR="00DA3151" w:rsidRDefault="00DA3151" w:rsidP="00DA3151">
      <w:pPr>
        <w:outlineLvl w:val="0"/>
      </w:pPr>
      <w:r>
        <w:t>MRD, mean residual disease; Blast CNT %, blast count; WBC, white blood cells.</w:t>
      </w:r>
    </w:p>
    <w:p w14:paraId="01963677" w14:textId="77777777" w:rsidR="00F74221" w:rsidRDefault="00F74221" w:rsidP="00DA3151">
      <w:pPr>
        <w:outlineLvl w:val="0"/>
      </w:pPr>
    </w:p>
    <w:p w14:paraId="7AB4153F" w14:textId="699FFD8F" w:rsidR="00F74221" w:rsidRDefault="00F74221">
      <w:r>
        <w:br w:type="page"/>
      </w:r>
    </w:p>
    <w:tbl>
      <w:tblPr>
        <w:tblpPr w:leftFromText="180" w:rightFromText="180" w:horzAnchor="page" w:tblpXSpec="center" w:tblpY="-5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630"/>
        <w:gridCol w:w="1170"/>
        <w:gridCol w:w="2075"/>
        <w:gridCol w:w="5323"/>
      </w:tblGrid>
      <w:tr w:rsidR="00F74221" w:rsidRPr="00B93038" w14:paraId="5ED49E6E" w14:textId="77777777" w:rsidTr="00F74221">
        <w:trPr>
          <w:trHeight w:val="280"/>
        </w:trPr>
        <w:tc>
          <w:tcPr>
            <w:tcW w:w="825" w:type="pct"/>
            <w:shd w:val="clear" w:color="auto" w:fill="auto"/>
            <w:noWrap/>
            <w:vAlign w:val="bottom"/>
            <w:hideMark/>
          </w:tcPr>
          <w:p w14:paraId="3491C5DF" w14:textId="77777777" w:rsidR="00F74221" w:rsidRPr="00EE502D" w:rsidRDefault="00F74221" w:rsidP="00F74221">
            <w:pPr>
              <w:ind w:right="473"/>
              <w:rPr>
                <w:rFonts w:ascii="Calibri" w:eastAsia="Times New Roman" w:hAnsi="Calibri"/>
                <w:b/>
                <w:color w:val="000000"/>
                <w:sz w:val="18"/>
                <w:szCs w:val="18"/>
              </w:rPr>
            </w:pPr>
            <w:r w:rsidRPr="00EE502D">
              <w:rPr>
                <w:rFonts w:ascii="Calibri" w:eastAsia="Times New Roman" w:hAnsi="Calibri"/>
                <w:b/>
                <w:color w:val="000000"/>
                <w:sz w:val="18"/>
                <w:szCs w:val="18"/>
              </w:rPr>
              <w:lastRenderedPageBreak/>
              <w:t>metabolite</w:t>
            </w:r>
          </w:p>
        </w:tc>
        <w:tc>
          <w:tcPr>
            <w:tcW w:w="286" w:type="pct"/>
            <w:shd w:val="clear" w:color="auto" w:fill="auto"/>
            <w:noWrap/>
            <w:vAlign w:val="bottom"/>
            <w:hideMark/>
          </w:tcPr>
          <w:p w14:paraId="5760BCD3"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t>rank</w:t>
            </w:r>
          </w:p>
        </w:tc>
        <w:tc>
          <w:tcPr>
            <w:tcW w:w="531" w:type="pct"/>
            <w:shd w:val="clear" w:color="auto" w:fill="auto"/>
            <w:noWrap/>
            <w:vAlign w:val="bottom"/>
            <w:hideMark/>
          </w:tcPr>
          <w:p w14:paraId="3538C910"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t>class</w:t>
            </w:r>
          </w:p>
        </w:tc>
        <w:tc>
          <w:tcPr>
            <w:tcW w:w="942" w:type="pct"/>
            <w:shd w:val="clear" w:color="auto" w:fill="auto"/>
            <w:noWrap/>
            <w:vAlign w:val="bottom"/>
            <w:hideMark/>
          </w:tcPr>
          <w:p w14:paraId="5E863F8E"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t>subclass</w:t>
            </w:r>
          </w:p>
        </w:tc>
        <w:tc>
          <w:tcPr>
            <w:tcW w:w="2416" w:type="pct"/>
            <w:shd w:val="clear" w:color="auto" w:fill="auto"/>
            <w:noWrap/>
            <w:vAlign w:val="bottom"/>
            <w:hideMark/>
          </w:tcPr>
          <w:p w14:paraId="5F411522"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t>pathways</w:t>
            </w:r>
          </w:p>
        </w:tc>
      </w:tr>
      <w:tr w:rsidR="00F74221" w:rsidRPr="00B93038" w14:paraId="48CACF33" w14:textId="77777777" w:rsidTr="00F74221">
        <w:trPr>
          <w:trHeight w:val="280"/>
        </w:trPr>
        <w:tc>
          <w:tcPr>
            <w:tcW w:w="825" w:type="pct"/>
            <w:shd w:val="clear" w:color="auto" w:fill="auto"/>
            <w:noWrap/>
            <w:vAlign w:val="bottom"/>
            <w:hideMark/>
          </w:tcPr>
          <w:p w14:paraId="1DCEBD13"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Choline</w:t>
            </w:r>
          </w:p>
        </w:tc>
        <w:tc>
          <w:tcPr>
            <w:tcW w:w="286" w:type="pct"/>
            <w:shd w:val="clear" w:color="auto" w:fill="auto"/>
            <w:noWrap/>
            <w:vAlign w:val="bottom"/>
            <w:hideMark/>
          </w:tcPr>
          <w:p w14:paraId="1F3856F3"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0.076</w:t>
            </w:r>
          </w:p>
        </w:tc>
        <w:tc>
          <w:tcPr>
            <w:tcW w:w="531" w:type="pct"/>
            <w:shd w:val="clear" w:color="auto" w:fill="auto"/>
            <w:noWrap/>
            <w:vAlign w:val="bottom"/>
            <w:hideMark/>
          </w:tcPr>
          <w:p w14:paraId="4F6C61F9"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Alcohols and Polyols</w:t>
            </w:r>
          </w:p>
        </w:tc>
        <w:tc>
          <w:tcPr>
            <w:tcW w:w="942" w:type="pct"/>
            <w:shd w:val="clear" w:color="auto" w:fill="auto"/>
            <w:noWrap/>
            <w:vAlign w:val="bottom"/>
            <w:hideMark/>
          </w:tcPr>
          <w:p w14:paraId="0BF7620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Cholines</w:t>
            </w:r>
          </w:p>
        </w:tc>
        <w:tc>
          <w:tcPr>
            <w:tcW w:w="2416" w:type="pct"/>
            <w:shd w:val="clear" w:color="auto" w:fill="auto"/>
            <w:noWrap/>
            <w:vAlign w:val="bottom"/>
            <w:hideMark/>
          </w:tcPr>
          <w:p w14:paraId="2C79695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Betaine Metabolism, Methionine Metabolism, Phospholipid Biosynthesis</w:t>
            </w:r>
          </w:p>
        </w:tc>
      </w:tr>
      <w:tr w:rsidR="00F74221" w:rsidRPr="00B93038" w14:paraId="27D00586" w14:textId="77777777" w:rsidTr="00F74221">
        <w:trPr>
          <w:trHeight w:val="280"/>
        </w:trPr>
        <w:tc>
          <w:tcPr>
            <w:tcW w:w="825" w:type="pct"/>
            <w:shd w:val="clear" w:color="auto" w:fill="auto"/>
            <w:noWrap/>
            <w:vAlign w:val="bottom"/>
            <w:hideMark/>
          </w:tcPr>
          <w:p w14:paraId="277BB1E5"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Acetylcarnitine</w:t>
            </w:r>
          </w:p>
        </w:tc>
        <w:tc>
          <w:tcPr>
            <w:tcW w:w="286" w:type="pct"/>
            <w:shd w:val="clear" w:color="auto" w:fill="auto"/>
            <w:noWrap/>
            <w:vAlign w:val="bottom"/>
            <w:hideMark/>
          </w:tcPr>
          <w:p w14:paraId="4F6453EA"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0.061</w:t>
            </w:r>
          </w:p>
        </w:tc>
        <w:tc>
          <w:tcPr>
            <w:tcW w:w="531" w:type="pct"/>
            <w:shd w:val="clear" w:color="auto" w:fill="auto"/>
            <w:noWrap/>
            <w:vAlign w:val="bottom"/>
            <w:hideMark/>
          </w:tcPr>
          <w:p w14:paraId="56F41AE9"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 Esters</w:t>
            </w:r>
          </w:p>
        </w:tc>
        <w:tc>
          <w:tcPr>
            <w:tcW w:w="942" w:type="pct"/>
            <w:shd w:val="clear" w:color="auto" w:fill="auto"/>
            <w:noWrap/>
            <w:vAlign w:val="bottom"/>
            <w:hideMark/>
          </w:tcPr>
          <w:p w14:paraId="6DB953D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Acyl Carnitines</w:t>
            </w:r>
          </w:p>
        </w:tc>
        <w:tc>
          <w:tcPr>
            <w:tcW w:w="2416" w:type="pct"/>
            <w:shd w:val="clear" w:color="auto" w:fill="auto"/>
            <w:noWrap/>
            <w:vAlign w:val="bottom"/>
            <w:hideMark/>
          </w:tcPr>
          <w:p w14:paraId="79D2D205"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Beta Oxidation of Very Long Chain Fatty Acids, Oxidation of Branched Chain Fatty Acids</w:t>
            </w:r>
          </w:p>
        </w:tc>
      </w:tr>
      <w:tr w:rsidR="00F74221" w:rsidRPr="00B93038" w14:paraId="3E02ECC7" w14:textId="77777777" w:rsidTr="00F74221">
        <w:trPr>
          <w:trHeight w:val="280"/>
        </w:trPr>
        <w:tc>
          <w:tcPr>
            <w:tcW w:w="825" w:type="pct"/>
            <w:shd w:val="clear" w:color="auto" w:fill="auto"/>
            <w:noWrap/>
            <w:vAlign w:val="bottom"/>
            <w:hideMark/>
          </w:tcPr>
          <w:p w14:paraId="7270BB52"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Hypoxanthine</w:t>
            </w:r>
          </w:p>
        </w:tc>
        <w:tc>
          <w:tcPr>
            <w:tcW w:w="286" w:type="pct"/>
            <w:shd w:val="clear" w:color="auto" w:fill="auto"/>
            <w:noWrap/>
            <w:vAlign w:val="bottom"/>
            <w:hideMark/>
          </w:tcPr>
          <w:p w14:paraId="69CF2A3A"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0.061</w:t>
            </w:r>
          </w:p>
        </w:tc>
        <w:tc>
          <w:tcPr>
            <w:tcW w:w="531" w:type="pct"/>
            <w:shd w:val="clear" w:color="auto" w:fill="auto"/>
            <w:noWrap/>
            <w:vAlign w:val="bottom"/>
            <w:hideMark/>
          </w:tcPr>
          <w:p w14:paraId="4B93F39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Imidazopyrimidines</w:t>
            </w:r>
          </w:p>
        </w:tc>
        <w:tc>
          <w:tcPr>
            <w:tcW w:w="942" w:type="pct"/>
            <w:shd w:val="clear" w:color="auto" w:fill="auto"/>
            <w:noWrap/>
            <w:vAlign w:val="bottom"/>
            <w:hideMark/>
          </w:tcPr>
          <w:p w14:paraId="05F4159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Purines and Purine Derivatives</w:t>
            </w:r>
          </w:p>
        </w:tc>
        <w:tc>
          <w:tcPr>
            <w:tcW w:w="2416" w:type="pct"/>
            <w:shd w:val="clear" w:color="auto" w:fill="auto"/>
            <w:noWrap/>
            <w:vAlign w:val="bottom"/>
            <w:hideMark/>
          </w:tcPr>
          <w:p w14:paraId="7FECE465"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Purine Metabolism</w:t>
            </w:r>
          </w:p>
        </w:tc>
      </w:tr>
      <w:tr w:rsidR="00F74221" w:rsidRPr="00B93038" w14:paraId="7BBEDFC1" w14:textId="77777777" w:rsidTr="00F74221">
        <w:trPr>
          <w:trHeight w:val="280"/>
        </w:trPr>
        <w:tc>
          <w:tcPr>
            <w:tcW w:w="825" w:type="pct"/>
            <w:shd w:val="clear" w:color="auto" w:fill="auto"/>
            <w:noWrap/>
            <w:vAlign w:val="bottom"/>
            <w:hideMark/>
          </w:tcPr>
          <w:p w14:paraId="11427253"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Methanol</w:t>
            </w:r>
          </w:p>
        </w:tc>
        <w:tc>
          <w:tcPr>
            <w:tcW w:w="286" w:type="pct"/>
            <w:shd w:val="clear" w:color="auto" w:fill="auto"/>
            <w:noWrap/>
            <w:vAlign w:val="bottom"/>
            <w:hideMark/>
          </w:tcPr>
          <w:p w14:paraId="3D28A070"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0.061</w:t>
            </w:r>
          </w:p>
        </w:tc>
        <w:tc>
          <w:tcPr>
            <w:tcW w:w="531" w:type="pct"/>
            <w:shd w:val="clear" w:color="auto" w:fill="auto"/>
            <w:noWrap/>
            <w:vAlign w:val="bottom"/>
            <w:hideMark/>
          </w:tcPr>
          <w:p w14:paraId="5A9FAAB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Alcohols and Polyols</w:t>
            </w:r>
          </w:p>
        </w:tc>
        <w:tc>
          <w:tcPr>
            <w:tcW w:w="942" w:type="pct"/>
            <w:shd w:val="clear" w:color="auto" w:fill="auto"/>
            <w:noWrap/>
            <w:vAlign w:val="bottom"/>
            <w:hideMark/>
          </w:tcPr>
          <w:p w14:paraId="3A646FD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Primary Alcohols</w:t>
            </w:r>
          </w:p>
        </w:tc>
        <w:tc>
          <w:tcPr>
            <w:tcW w:w="2416" w:type="pct"/>
            <w:shd w:val="clear" w:color="auto" w:fill="auto"/>
            <w:noWrap/>
            <w:vAlign w:val="bottom"/>
            <w:hideMark/>
          </w:tcPr>
          <w:p w14:paraId="3A236AA4"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154650C9" w14:textId="77777777" w:rsidTr="00F74221">
        <w:trPr>
          <w:trHeight w:val="280"/>
        </w:trPr>
        <w:tc>
          <w:tcPr>
            <w:tcW w:w="825" w:type="pct"/>
            <w:shd w:val="clear" w:color="auto" w:fill="auto"/>
            <w:noWrap/>
            <w:vAlign w:val="bottom"/>
            <w:hideMark/>
          </w:tcPr>
          <w:p w14:paraId="649AE892"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Niacinamide</w:t>
            </w:r>
          </w:p>
        </w:tc>
        <w:tc>
          <w:tcPr>
            <w:tcW w:w="286" w:type="pct"/>
            <w:shd w:val="clear" w:color="auto" w:fill="auto"/>
            <w:noWrap/>
            <w:vAlign w:val="bottom"/>
            <w:hideMark/>
          </w:tcPr>
          <w:p w14:paraId="25D913D0"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0.061</w:t>
            </w:r>
          </w:p>
        </w:tc>
        <w:tc>
          <w:tcPr>
            <w:tcW w:w="531" w:type="pct"/>
            <w:shd w:val="clear" w:color="auto" w:fill="auto"/>
            <w:noWrap/>
            <w:vAlign w:val="bottom"/>
            <w:hideMark/>
          </w:tcPr>
          <w:p w14:paraId="13D9E62F"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Pyridines and Derivatives</w:t>
            </w:r>
          </w:p>
        </w:tc>
        <w:tc>
          <w:tcPr>
            <w:tcW w:w="942" w:type="pct"/>
            <w:shd w:val="clear" w:color="auto" w:fill="auto"/>
            <w:noWrap/>
            <w:vAlign w:val="bottom"/>
            <w:hideMark/>
          </w:tcPr>
          <w:p w14:paraId="296067D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N/A</w:t>
            </w:r>
          </w:p>
        </w:tc>
        <w:tc>
          <w:tcPr>
            <w:tcW w:w="2416" w:type="pct"/>
            <w:shd w:val="clear" w:color="auto" w:fill="auto"/>
            <w:noWrap/>
            <w:vAlign w:val="bottom"/>
            <w:hideMark/>
          </w:tcPr>
          <w:p w14:paraId="727BDFD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Nicotinate and Nicotinamide Metabolism</w:t>
            </w:r>
          </w:p>
        </w:tc>
      </w:tr>
      <w:tr w:rsidR="00F74221" w:rsidRPr="00B93038" w14:paraId="50B3E26A" w14:textId="77777777" w:rsidTr="00F74221">
        <w:trPr>
          <w:trHeight w:val="280"/>
        </w:trPr>
        <w:tc>
          <w:tcPr>
            <w:tcW w:w="825" w:type="pct"/>
            <w:shd w:val="clear" w:color="auto" w:fill="auto"/>
            <w:noWrap/>
            <w:vAlign w:val="bottom"/>
            <w:hideMark/>
          </w:tcPr>
          <w:p w14:paraId="4595EC3C"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2-Aminobutyrate</w:t>
            </w:r>
          </w:p>
        </w:tc>
        <w:tc>
          <w:tcPr>
            <w:tcW w:w="286" w:type="pct"/>
            <w:shd w:val="clear" w:color="auto" w:fill="auto"/>
            <w:noWrap/>
            <w:vAlign w:val="bottom"/>
            <w:hideMark/>
          </w:tcPr>
          <w:p w14:paraId="2394A300"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0.045</w:t>
            </w:r>
          </w:p>
        </w:tc>
        <w:tc>
          <w:tcPr>
            <w:tcW w:w="531" w:type="pct"/>
            <w:shd w:val="clear" w:color="auto" w:fill="auto"/>
            <w:noWrap/>
            <w:vAlign w:val="bottom"/>
            <w:hideMark/>
          </w:tcPr>
          <w:p w14:paraId="183DEB6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1A7B9A7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12E0AF5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0E9DD7F4" w14:textId="77777777" w:rsidTr="00F74221">
        <w:trPr>
          <w:trHeight w:val="280"/>
        </w:trPr>
        <w:tc>
          <w:tcPr>
            <w:tcW w:w="825" w:type="pct"/>
            <w:shd w:val="clear" w:color="auto" w:fill="auto"/>
            <w:noWrap/>
            <w:vAlign w:val="bottom"/>
            <w:hideMark/>
          </w:tcPr>
          <w:p w14:paraId="2001EABB"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2-Hydroxyisovalerate</w:t>
            </w:r>
          </w:p>
        </w:tc>
        <w:tc>
          <w:tcPr>
            <w:tcW w:w="286" w:type="pct"/>
            <w:shd w:val="clear" w:color="auto" w:fill="auto"/>
            <w:noWrap/>
            <w:vAlign w:val="bottom"/>
            <w:hideMark/>
          </w:tcPr>
          <w:p w14:paraId="0496C2D5"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0.045</w:t>
            </w:r>
          </w:p>
        </w:tc>
        <w:tc>
          <w:tcPr>
            <w:tcW w:w="531" w:type="pct"/>
            <w:shd w:val="clear" w:color="auto" w:fill="auto"/>
            <w:noWrap/>
            <w:vAlign w:val="bottom"/>
            <w:hideMark/>
          </w:tcPr>
          <w:p w14:paraId="26BD1004"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Acids and Conjugates</w:t>
            </w:r>
          </w:p>
        </w:tc>
        <w:tc>
          <w:tcPr>
            <w:tcW w:w="942" w:type="pct"/>
            <w:shd w:val="clear" w:color="auto" w:fill="auto"/>
            <w:noWrap/>
            <w:vAlign w:val="bottom"/>
            <w:hideMark/>
          </w:tcPr>
          <w:p w14:paraId="3E1C2A7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Branched Fatty Acids</w:t>
            </w:r>
          </w:p>
        </w:tc>
        <w:tc>
          <w:tcPr>
            <w:tcW w:w="2416" w:type="pct"/>
            <w:shd w:val="clear" w:color="auto" w:fill="auto"/>
            <w:noWrap/>
            <w:vAlign w:val="bottom"/>
            <w:hideMark/>
          </w:tcPr>
          <w:p w14:paraId="5996F0B9"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508E3F83" w14:textId="77777777" w:rsidTr="00F74221">
        <w:trPr>
          <w:trHeight w:val="280"/>
        </w:trPr>
        <w:tc>
          <w:tcPr>
            <w:tcW w:w="825" w:type="pct"/>
            <w:shd w:val="clear" w:color="auto" w:fill="auto"/>
            <w:noWrap/>
            <w:vAlign w:val="bottom"/>
            <w:hideMark/>
          </w:tcPr>
          <w:p w14:paraId="587270F3" w14:textId="01D6DF33"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cis-9</w:t>
            </w:r>
            <w:r>
              <w:rPr>
                <w:rFonts w:ascii="Calibri" w:eastAsia="Times New Roman" w:hAnsi="Calibri"/>
                <w:color w:val="000000"/>
                <w:sz w:val="18"/>
                <w:szCs w:val="18"/>
              </w:rPr>
              <w:t>-</w:t>
            </w:r>
            <w:r w:rsidRPr="00B93038">
              <w:rPr>
                <w:rFonts w:ascii="Calibri" w:eastAsia="Times New Roman" w:hAnsi="Calibri"/>
                <w:color w:val="000000"/>
                <w:sz w:val="18"/>
                <w:szCs w:val="18"/>
              </w:rPr>
              <w:t xml:space="preserve">Palmitoleic </w:t>
            </w:r>
            <w:r>
              <w:rPr>
                <w:rFonts w:ascii="Calibri" w:eastAsia="Times New Roman" w:hAnsi="Calibri"/>
                <w:color w:val="000000"/>
                <w:sz w:val="18"/>
                <w:szCs w:val="18"/>
              </w:rPr>
              <w:t xml:space="preserve"> </w:t>
            </w:r>
            <w:r w:rsidRPr="00B93038">
              <w:rPr>
                <w:rFonts w:ascii="Calibri" w:eastAsia="Times New Roman" w:hAnsi="Calibri"/>
                <w:color w:val="000000"/>
                <w:sz w:val="18"/>
                <w:szCs w:val="18"/>
              </w:rPr>
              <w:t>acid</w:t>
            </w:r>
          </w:p>
        </w:tc>
        <w:tc>
          <w:tcPr>
            <w:tcW w:w="286" w:type="pct"/>
            <w:shd w:val="clear" w:color="auto" w:fill="auto"/>
            <w:noWrap/>
            <w:vAlign w:val="bottom"/>
            <w:hideMark/>
          </w:tcPr>
          <w:p w14:paraId="3963F4CB"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0.045</w:t>
            </w:r>
          </w:p>
        </w:tc>
        <w:tc>
          <w:tcPr>
            <w:tcW w:w="531" w:type="pct"/>
            <w:shd w:val="clear" w:color="auto" w:fill="auto"/>
            <w:noWrap/>
            <w:vAlign w:val="bottom"/>
            <w:hideMark/>
          </w:tcPr>
          <w:p w14:paraId="4AB2D36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Acids and Conjugates</w:t>
            </w:r>
          </w:p>
        </w:tc>
        <w:tc>
          <w:tcPr>
            <w:tcW w:w="942" w:type="pct"/>
            <w:shd w:val="clear" w:color="auto" w:fill="auto"/>
            <w:noWrap/>
            <w:vAlign w:val="bottom"/>
            <w:hideMark/>
          </w:tcPr>
          <w:p w14:paraId="4965177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Unsaturated Fatty Acids</w:t>
            </w:r>
          </w:p>
        </w:tc>
        <w:tc>
          <w:tcPr>
            <w:tcW w:w="2416" w:type="pct"/>
            <w:shd w:val="clear" w:color="auto" w:fill="auto"/>
            <w:noWrap/>
            <w:vAlign w:val="bottom"/>
            <w:hideMark/>
          </w:tcPr>
          <w:p w14:paraId="4641420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1291A69B" w14:textId="77777777" w:rsidTr="00F74221">
        <w:trPr>
          <w:trHeight w:val="280"/>
        </w:trPr>
        <w:tc>
          <w:tcPr>
            <w:tcW w:w="825" w:type="pct"/>
            <w:shd w:val="clear" w:color="auto" w:fill="auto"/>
            <w:noWrap/>
            <w:vAlign w:val="bottom"/>
            <w:hideMark/>
          </w:tcPr>
          <w:p w14:paraId="7C2756EF"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Myo-Inositol</w:t>
            </w:r>
          </w:p>
        </w:tc>
        <w:tc>
          <w:tcPr>
            <w:tcW w:w="286" w:type="pct"/>
            <w:shd w:val="clear" w:color="auto" w:fill="auto"/>
            <w:noWrap/>
            <w:vAlign w:val="bottom"/>
            <w:hideMark/>
          </w:tcPr>
          <w:p w14:paraId="0C3F0092"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0.045</w:t>
            </w:r>
          </w:p>
        </w:tc>
        <w:tc>
          <w:tcPr>
            <w:tcW w:w="531" w:type="pct"/>
            <w:shd w:val="clear" w:color="auto" w:fill="auto"/>
            <w:noWrap/>
            <w:vAlign w:val="bottom"/>
            <w:hideMark/>
          </w:tcPr>
          <w:p w14:paraId="68058A5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Cyclic Alcohols and Derivatives</w:t>
            </w:r>
          </w:p>
        </w:tc>
        <w:tc>
          <w:tcPr>
            <w:tcW w:w="942" w:type="pct"/>
            <w:shd w:val="clear" w:color="auto" w:fill="auto"/>
            <w:noWrap/>
            <w:vAlign w:val="bottom"/>
            <w:hideMark/>
          </w:tcPr>
          <w:p w14:paraId="37986F3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Cyclitols and Derivatives</w:t>
            </w:r>
          </w:p>
        </w:tc>
        <w:tc>
          <w:tcPr>
            <w:tcW w:w="2416" w:type="pct"/>
            <w:shd w:val="clear" w:color="auto" w:fill="auto"/>
            <w:noWrap/>
            <w:vAlign w:val="bottom"/>
            <w:hideMark/>
          </w:tcPr>
          <w:p w14:paraId="6DEF5B6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Galactose Metabolism, Inositol Metabolism, Inositol Phosphate Metabolism, Phosphatidylinositol Phosphate Metabolism</w:t>
            </w:r>
          </w:p>
        </w:tc>
      </w:tr>
      <w:tr w:rsidR="00F74221" w:rsidRPr="00B93038" w14:paraId="6B8638E0" w14:textId="77777777" w:rsidTr="00F74221">
        <w:trPr>
          <w:trHeight w:val="280"/>
        </w:trPr>
        <w:tc>
          <w:tcPr>
            <w:tcW w:w="825" w:type="pct"/>
            <w:shd w:val="clear" w:color="auto" w:fill="auto"/>
            <w:noWrap/>
            <w:vAlign w:val="bottom"/>
            <w:hideMark/>
          </w:tcPr>
          <w:p w14:paraId="78B14047"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Acetone</w:t>
            </w:r>
          </w:p>
        </w:tc>
        <w:tc>
          <w:tcPr>
            <w:tcW w:w="286" w:type="pct"/>
            <w:shd w:val="clear" w:color="auto" w:fill="auto"/>
            <w:noWrap/>
            <w:vAlign w:val="bottom"/>
            <w:hideMark/>
          </w:tcPr>
          <w:p w14:paraId="42FBD7EF"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5297B44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Carbonyl Compounds</w:t>
            </w:r>
          </w:p>
        </w:tc>
        <w:tc>
          <w:tcPr>
            <w:tcW w:w="942" w:type="pct"/>
            <w:shd w:val="clear" w:color="auto" w:fill="auto"/>
            <w:noWrap/>
            <w:vAlign w:val="bottom"/>
            <w:hideMark/>
          </w:tcPr>
          <w:p w14:paraId="20EBFA6F"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Ketones</w:t>
            </w:r>
          </w:p>
        </w:tc>
        <w:tc>
          <w:tcPr>
            <w:tcW w:w="2416" w:type="pct"/>
            <w:shd w:val="clear" w:color="auto" w:fill="auto"/>
            <w:noWrap/>
            <w:vAlign w:val="bottom"/>
            <w:hideMark/>
          </w:tcPr>
          <w:p w14:paraId="17F34AB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Ketone Body Metabolism</w:t>
            </w:r>
          </w:p>
        </w:tc>
      </w:tr>
      <w:tr w:rsidR="00F74221" w:rsidRPr="00B93038" w14:paraId="3ED451C2" w14:textId="77777777" w:rsidTr="00F74221">
        <w:trPr>
          <w:trHeight w:val="280"/>
        </w:trPr>
        <w:tc>
          <w:tcPr>
            <w:tcW w:w="825" w:type="pct"/>
            <w:shd w:val="clear" w:color="auto" w:fill="auto"/>
            <w:noWrap/>
            <w:vAlign w:val="bottom"/>
            <w:hideMark/>
          </w:tcPr>
          <w:p w14:paraId="1740E6E2"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Aspartate</w:t>
            </w:r>
          </w:p>
        </w:tc>
        <w:tc>
          <w:tcPr>
            <w:tcW w:w="286" w:type="pct"/>
            <w:shd w:val="clear" w:color="auto" w:fill="auto"/>
            <w:noWrap/>
            <w:vAlign w:val="bottom"/>
            <w:hideMark/>
          </w:tcPr>
          <w:p w14:paraId="2FE6292B"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2BC631E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6D748E14"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2B7B937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Ammonia Recycling, Arginine and Proline Metabolism, Aspartate Metabolism</w:t>
            </w:r>
          </w:p>
        </w:tc>
      </w:tr>
      <w:tr w:rsidR="00F74221" w:rsidRPr="00B93038" w14:paraId="1AD88B88" w14:textId="77777777" w:rsidTr="00F74221">
        <w:trPr>
          <w:trHeight w:val="280"/>
        </w:trPr>
        <w:tc>
          <w:tcPr>
            <w:tcW w:w="825" w:type="pct"/>
            <w:shd w:val="clear" w:color="auto" w:fill="auto"/>
            <w:noWrap/>
            <w:vAlign w:val="bottom"/>
            <w:hideMark/>
          </w:tcPr>
          <w:p w14:paraId="7251550B"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Fumarate</w:t>
            </w:r>
          </w:p>
        </w:tc>
        <w:tc>
          <w:tcPr>
            <w:tcW w:w="286" w:type="pct"/>
            <w:shd w:val="clear" w:color="auto" w:fill="auto"/>
            <w:noWrap/>
            <w:vAlign w:val="bottom"/>
            <w:hideMark/>
          </w:tcPr>
          <w:p w14:paraId="35387178"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5165E6C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Acids and Conjugates</w:t>
            </w:r>
          </w:p>
        </w:tc>
        <w:tc>
          <w:tcPr>
            <w:tcW w:w="942" w:type="pct"/>
            <w:shd w:val="clear" w:color="auto" w:fill="auto"/>
            <w:noWrap/>
            <w:vAlign w:val="bottom"/>
            <w:hideMark/>
          </w:tcPr>
          <w:p w14:paraId="4D53467F"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Unsaturated Fatty Acids</w:t>
            </w:r>
          </w:p>
        </w:tc>
        <w:tc>
          <w:tcPr>
            <w:tcW w:w="2416" w:type="pct"/>
            <w:shd w:val="clear" w:color="auto" w:fill="auto"/>
            <w:noWrap/>
            <w:vAlign w:val="bottom"/>
            <w:hideMark/>
          </w:tcPr>
          <w:p w14:paraId="0EC446B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Arginine and Proline Metabolism, Aspartate Metabolism, Citric Acid Cycle, Mitochondrial Electron Transport Chain, Phenylalanine and Tyrosine Metabolism, Tyrosine Metabolism, Urea Cycle</w:t>
            </w:r>
          </w:p>
        </w:tc>
      </w:tr>
      <w:tr w:rsidR="00F74221" w:rsidRPr="00B93038" w14:paraId="6F582EBA" w14:textId="77777777" w:rsidTr="00F74221">
        <w:trPr>
          <w:trHeight w:val="280"/>
        </w:trPr>
        <w:tc>
          <w:tcPr>
            <w:tcW w:w="825" w:type="pct"/>
            <w:shd w:val="clear" w:color="auto" w:fill="auto"/>
            <w:noWrap/>
            <w:vAlign w:val="bottom"/>
            <w:hideMark/>
          </w:tcPr>
          <w:p w14:paraId="006D9FBA"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Glutamate</w:t>
            </w:r>
          </w:p>
        </w:tc>
        <w:tc>
          <w:tcPr>
            <w:tcW w:w="286" w:type="pct"/>
            <w:shd w:val="clear" w:color="auto" w:fill="auto"/>
            <w:noWrap/>
            <w:vAlign w:val="bottom"/>
            <w:hideMark/>
          </w:tcPr>
          <w:p w14:paraId="08954258"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611EDE0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78393A8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4688209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Alanine Metabolism, Amino Sugar Metabolism, Ammonia Recycling, Arginine and Proline Metabolism, Cysteine Metabolism, Folate Metabolism</w:t>
            </w:r>
          </w:p>
        </w:tc>
      </w:tr>
      <w:tr w:rsidR="00F74221" w:rsidRPr="00B93038" w14:paraId="4B5E2B63" w14:textId="77777777" w:rsidTr="00F74221">
        <w:trPr>
          <w:trHeight w:val="280"/>
        </w:trPr>
        <w:tc>
          <w:tcPr>
            <w:tcW w:w="825" w:type="pct"/>
            <w:shd w:val="clear" w:color="auto" w:fill="auto"/>
            <w:noWrap/>
            <w:vAlign w:val="bottom"/>
            <w:hideMark/>
          </w:tcPr>
          <w:p w14:paraId="250593E7"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Glycine</w:t>
            </w:r>
          </w:p>
        </w:tc>
        <w:tc>
          <w:tcPr>
            <w:tcW w:w="286" w:type="pct"/>
            <w:shd w:val="clear" w:color="auto" w:fill="auto"/>
            <w:noWrap/>
            <w:vAlign w:val="bottom"/>
            <w:hideMark/>
          </w:tcPr>
          <w:p w14:paraId="6207C1FC"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5EA9BBCF"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3096D72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25C9D78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Alanine Metabolism, Ammonia Recycling, Bile Acid Biosynthesis, Carnitine Synthesis, Glutathione Metabolism, Glycine and Serine Metabolism, Methionine Metabolism, Porphyrin Metabolism</w:t>
            </w:r>
          </w:p>
        </w:tc>
      </w:tr>
      <w:tr w:rsidR="00F74221" w:rsidRPr="00B93038" w14:paraId="31C69C41" w14:textId="77777777" w:rsidTr="00F74221">
        <w:trPr>
          <w:trHeight w:val="280"/>
        </w:trPr>
        <w:tc>
          <w:tcPr>
            <w:tcW w:w="825" w:type="pct"/>
            <w:shd w:val="clear" w:color="auto" w:fill="auto"/>
            <w:noWrap/>
            <w:vAlign w:val="bottom"/>
            <w:hideMark/>
          </w:tcPr>
          <w:p w14:paraId="76B34A88"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Lactate</w:t>
            </w:r>
          </w:p>
        </w:tc>
        <w:tc>
          <w:tcPr>
            <w:tcW w:w="286" w:type="pct"/>
            <w:shd w:val="clear" w:color="auto" w:fill="auto"/>
            <w:noWrap/>
            <w:vAlign w:val="bottom"/>
            <w:hideMark/>
          </w:tcPr>
          <w:p w14:paraId="573F2DE1"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2DCFEEE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Hydroxy Acids and Derivatives</w:t>
            </w:r>
          </w:p>
        </w:tc>
        <w:tc>
          <w:tcPr>
            <w:tcW w:w="942" w:type="pct"/>
            <w:shd w:val="clear" w:color="auto" w:fill="auto"/>
            <w:noWrap/>
            <w:vAlign w:val="bottom"/>
            <w:hideMark/>
          </w:tcPr>
          <w:p w14:paraId="1D0DB9F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Hydroxy Acids and Derivatives</w:t>
            </w:r>
          </w:p>
        </w:tc>
        <w:tc>
          <w:tcPr>
            <w:tcW w:w="2416" w:type="pct"/>
            <w:shd w:val="clear" w:color="auto" w:fill="auto"/>
            <w:noWrap/>
            <w:vAlign w:val="bottom"/>
            <w:hideMark/>
          </w:tcPr>
          <w:p w14:paraId="32A2FCB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Gluconeogenesis, Pyruvate Metabolism</w:t>
            </w:r>
          </w:p>
        </w:tc>
      </w:tr>
      <w:tr w:rsidR="00F74221" w:rsidRPr="00B93038" w14:paraId="17141285" w14:textId="77777777" w:rsidTr="00F74221">
        <w:trPr>
          <w:trHeight w:val="280"/>
        </w:trPr>
        <w:tc>
          <w:tcPr>
            <w:tcW w:w="825" w:type="pct"/>
            <w:shd w:val="clear" w:color="auto" w:fill="auto"/>
            <w:noWrap/>
            <w:vAlign w:val="bottom"/>
            <w:hideMark/>
          </w:tcPr>
          <w:p w14:paraId="2B6528EE"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Myristic acid</w:t>
            </w:r>
          </w:p>
        </w:tc>
        <w:tc>
          <w:tcPr>
            <w:tcW w:w="286" w:type="pct"/>
            <w:shd w:val="clear" w:color="auto" w:fill="auto"/>
            <w:noWrap/>
            <w:vAlign w:val="bottom"/>
            <w:hideMark/>
          </w:tcPr>
          <w:p w14:paraId="62DFF898"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4550B9A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 xml:space="preserve">Fatty Acids and </w:t>
            </w:r>
            <w:r w:rsidRPr="00B93038">
              <w:rPr>
                <w:rFonts w:ascii="Calibri" w:eastAsia="Times New Roman" w:hAnsi="Calibri"/>
                <w:color w:val="000000"/>
                <w:sz w:val="18"/>
                <w:szCs w:val="18"/>
              </w:rPr>
              <w:lastRenderedPageBreak/>
              <w:t>Conjugates</w:t>
            </w:r>
          </w:p>
        </w:tc>
        <w:tc>
          <w:tcPr>
            <w:tcW w:w="942" w:type="pct"/>
            <w:shd w:val="clear" w:color="auto" w:fill="auto"/>
            <w:noWrap/>
            <w:vAlign w:val="bottom"/>
            <w:hideMark/>
          </w:tcPr>
          <w:p w14:paraId="44EF451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lastRenderedPageBreak/>
              <w:t xml:space="preserve">Straight Chain Fatty </w:t>
            </w:r>
            <w:r w:rsidRPr="00B93038">
              <w:rPr>
                <w:rFonts w:ascii="Calibri" w:eastAsia="Times New Roman" w:hAnsi="Calibri"/>
                <w:color w:val="000000"/>
                <w:sz w:val="18"/>
                <w:szCs w:val="18"/>
              </w:rPr>
              <w:lastRenderedPageBreak/>
              <w:t>Acids</w:t>
            </w:r>
          </w:p>
        </w:tc>
        <w:tc>
          <w:tcPr>
            <w:tcW w:w="2416" w:type="pct"/>
            <w:shd w:val="clear" w:color="auto" w:fill="auto"/>
            <w:noWrap/>
            <w:vAlign w:val="bottom"/>
            <w:hideMark/>
          </w:tcPr>
          <w:p w14:paraId="2A3A3BC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lastRenderedPageBreak/>
              <w:t>Fatty Acid Biosynthesis</w:t>
            </w:r>
          </w:p>
        </w:tc>
      </w:tr>
      <w:tr w:rsidR="00F74221" w:rsidRPr="00B93038" w14:paraId="2FCB5CF4" w14:textId="77777777" w:rsidTr="00F74221">
        <w:trPr>
          <w:trHeight w:val="280"/>
        </w:trPr>
        <w:tc>
          <w:tcPr>
            <w:tcW w:w="825" w:type="pct"/>
            <w:shd w:val="clear" w:color="auto" w:fill="auto"/>
            <w:noWrap/>
            <w:vAlign w:val="bottom"/>
            <w:hideMark/>
          </w:tcPr>
          <w:p w14:paraId="781727E5"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lastRenderedPageBreak/>
              <w:t>Oleic acid</w:t>
            </w:r>
          </w:p>
        </w:tc>
        <w:tc>
          <w:tcPr>
            <w:tcW w:w="286" w:type="pct"/>
            <w:shd w:val="clear" w:color="auto" w:fill="auto"/>
            <w:noWrap/>
            <w:vAlign w:val="bottom"/>
            <w:hideMark/>
          </w:tcPr>
          <w:p w14:paraId="2B626325"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78824C1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Acids and Conjugates</w:t>
            </w:r>
          </w:p>
        </w:tc>
        <w:tc>
          <w:tcPr>
            <w:tcW w:w="942" w:type="pct"/>
            <w:shd w:val="clear" w:color="auto" w:fill="auto"/>
            <w:noWrap/>
            <w:vAlign w:val="bottom"/>
            <w:hideMark/>
          </w:tcPr>
          <w:p w14:paraId="39AE23C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Unsaturated Fatty Acids</w:t>
            </w:r>
          </w:p>
        </w:tc>
        <w:tc>
          <w:tcPr>
            <w:tcW w:w="2416" w:type="pct"/>
            <w:shd w:val="clear" w:color="auto" w:fill="auto"/>
            <w:noWrap/>
            <w:vAlign w:val="bottom"/>
            <w:hideMark/>
          </w:tcPr>
          <w:p w14:paraId="689ED12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7652F6FD" w14:textId="77777777" w:rsidTr="00F74221">
        <w:trPr>
          <w:trHeight w:val="280"/>
        </w:trPr>
        <w:tc>
          <w:tcPr>
            <w:tcW w:w="825" w:type="pct"/>
            <w:shd w:val="clear" w:color="auto" w:fill="auto"/>
            <w:noWrap/>
            <w:vAlign w:val="bottom"/>
            <w:hideMark/>
          </w:tcPr>
          <w:p w14:paraId="27B9B98F"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Stearic acid</w:t>
            </w:r>
          </w:p>
        </w:tc>
        <w:tc>
          <w:tcPr>
            <w:tcW w:w="286" w:type="pct"/>
            <w:shd w:val="clear" w:color="auto" w:fill="auto"/>
            <w:noWrap/>
            <w:vAlign w:val="bottom"/>
            <w:hideMark/>
          </w:tcPr>
          <w:p w14:paraId="1B107047"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60B018A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Acids and Conjugates</w:t>
            </w:r>
          </w:p>
        </w:tc>
        <w:tc>
          <w:tcPr>
            <w:tcW w:w="942" w:type="pct"/>
            <w:shd w:val="clear" w:color="auto" w:fill="auto"/>
            <w:noWrap/>
            <w:vAlign w:val="bottom"/>
            <w:hideMark/>
          </w:tcPr>
          <w:p w14:paraId="5EAE95BC"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Straight Chain Fatty Acids</w:t>
            </w:r>
          </w:p>
        </w:tc>
        <w:tc>
          <w:tcPr>
            <w:tcW w:w="2416" w:type="pct"/>
            <w:shd w:val="clear" w:color="auto" w:fill="auto"/>
            <w:noWrap/>
            <w:vAlign w:val="bottom"/>
            <w:hideMark/>
          </w:tcPr>
          <w:p w14:paraId="6AB329A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Plasmalogen Synthesis</w:t>
            </w:r>
          </w:p>
        </w:tc>
      </w:tr>
      <w:tr w:rsidR="00F74221" w:rsidRPr="00B93038" w14:paraId="0EEEDEE8" w14:textId="77777777" w:rsidTr="00F74221">
        <w:trPr>
          <w:trHeight w:val="280"/>
        </w:trPr>
        <w:tc>
          <w:tcPr>
            <w:tcW w:w="825" w:type="pct"/>
            <w:shd w:val="clear" w:color="auto" w:fill="auto"/>
            <w:noWrap/>
            <w:vAlign w:val="bottom"/>
            <w:hideMark/>
          </w:tcPr>
          <w:p w14:paraId="67DA2EA2"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Uridine</w:t>
            </w:r>
          </w:p>
        </w:tc>
        <w:tc>
          <w:tcPr>
            <w:tcW w:w="286" w:type="pct"/>
            <w:shd w:val="clear" w:color="auto" w:fill="auto"/>
            <w:noWrap/>
            <w:vAlign w:val="bottom"/>
            <w:hideMark/>
          </w:tcPr>
          <w:p w14:paraId="383BFE41"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0.030</w:t>
            </w:r>
          </w:p>
        </w:tc>
        <w:tc>
          <w:tcPr>
            <w:tcW w:w="531" w:type="pct"/>
            <w:shd w:val="clear" w:color="auto" w:fill="auto"/>
            <w:noWrap/>
            <w:vAlign w:val="bottom"/>
            <w:hideMark/>
          </w:tcPr>
          <w:p w14:paraId="7095D1B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Pyrimidine Nucleosides and Analogues</w:t>
            </w:r>
          </w:p>
        </w:tc>
        <w:tc>
          <w:tcPr>
            <w:tcW w:w="942" w:type="pct"/>
            <w:shd w:val="clear" w:color="auto" w:fill="auto"/>
            <w:noWrap/>
            <w:vAlign w:val="bottom"/>
            <w:hideMark/>
          </w:tcPr>
          <w:p w14:paraId="3E9A311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N/A</w:t>
            </w:r>
          </w:p>
        </w:tc>
        <w:tc>
          <w:tcPr>
            <w:tcW w:w="2416" w:type="pct"/>
            <w:shd w:val="clear" w:color="auto" w:fill="auto"/>
            <w:noWrap/>
            <w:vAlign w:val="bottom"/>
            <w:hideMark/>
          </w:tcPr>
          <w:p w14:paraId="3C5B203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Pyrimidine Metabolism</w:t>
            </w:r>
          </w:p>
        </w:tc>
      </w:tr>
      <w:tr w:rsidR="00F74221" w:rsidRPr="00B93038" w14:paraId="65A5FCBF" w14:textId="77777777" w:rsidTr="00F74221">
        <w:trPr>
          <w:trHeight w:val="280"/>
        </w:trPr>
        <w:tc>
          <w:tcPr>
            <w:tcW w:w="825" w:type="pct"/>
            <w:shd w:val="clear" w:color="auto" w:fill="auto"/>
            <w:noWrap/>
            <w:vAlign w:val="bottom"/>
            <w:hideMark/>
          </w:tcPr>
          <w:p w14:paraId="7CEA1B5B"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3-Hydroxyisovalerate</w:t>
            </w:r>
          </w:p>
        </w:tc>
        <w:tc>
          <w:tcPr>
            <w:tcW w:w="286" w:type="pct"/>
            <w:shd w:val="clear" w:color="auto" w:fill="auto"/>
            <w:noWrap/>
            <w:vAlign w:val="bottom"/>
            <w:hideMark/>
          </w:tcPr>
          <w:p w14:paraId="3C28714A"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768EE7D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Hydroxy Acids and Derivatives</w:t>
            </w:r>
          </w:p>
        </w:tc>
        <w:tc>
          <w:tcPr>
            <w:tcW w:w="942" w:type="pct"/>
            <w:shd w:val="clear" w:color="auto" w:fill="auto"/>
            <w:noWrap/>
            <w:vAlign w:val="bottom"/>
            <w:hideMark/>
          </w:tcPr>
          <w:p w14:paraId="636119A4"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Beta Hydroxy Acids and Derivatives</w:t>
            </w:r>
          </w:p>
        </w:tc>
        <w:tc>
          <w:tcPr>
            <w:tcW w:w="2416" w:type="pct"/>
            <w:shd w:val="clear" w:color="auto" w:fill="auto"/>
            <w:noWrap/>
            <w:vAlign w:val="bottom"/>
            <w:hideMark/>
          </w:tcPr>
          <w:p w14:paraId="1F219035"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0C6AFB40" w14:textId="77777777" w:rsidTr="00F74221">
        <w:trPr>
          <w:trHeight w:val="280"/>
        </w:trPr>
        <w:tc>
          <w:tcPr>
            <w:tcW w:w="825" w:type="pct"/>
            <w:shd w:val="clear" w:color="auto" w:fill="auto"/>
            <w:noWrap/>
            <w:vAlign w:val="bottom"/>
            <w:hideMark/>
          </w:tcPr>
          <w:p w14:paraId="2BDE0DC5"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Asparagine</w:t>
            </w:r>
          </w:p>
        </w:tc>
        <w:tc>
          <w:tcPr>
            <w:tcW w:w="286" w:type="pct"/>
            <w:shd w:val="clear" w:color="auto" w:fill="auto"/>
            <w:noWrap/>
            <w:vAlign w:val="bottom"/>
            <w:hideMark/>
          </w:tcPr>
          <w:p w14:paraId="00C30501"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54A3A0F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24625CD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6C90DC94"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Ammonia Recycling, Aspartate Metabolism, Transcription/Translation</w:t>
            </w:r>
          </w:p>
        </w:tc>
      </w:tr>
      <w:tr w:rsidR="00F74221" w:rsidRPr="00B93038" w14:paraId="2E6A54C9" w14:textId="77777777" w:rsidTr="00F74221">
        <w:trPr>
          <w:trHeight w:val="280"/>
        </w:trPr>
        <w:tc>
          <w:tcPr>
            <w:tcW w:w="825" w:type="pct"/>
            <w:shd w:val="clear" w:color="auto" w:fill="auto"/>
            <w:noWrap/>
            <w:vAlign w:val="bottom"/>
            <w:hideMark/>
          </w:tcPr>
          <w:p w14:paraId="7F3585DC"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Glucose</w:t>
            </w:r>
          </w:p>
        </w:tc>
        <w:tc>
          <w:tcPr>
            <w:tcW w:w="286" w:type="pct"/>
            <w:shd w:val="clear" w:color="auto" w:fill="auto"/>
            <w:noWrap/>
            <w:vAlign w:val="bottom"/>
            <w:hideMark/>
          </w:tcPr>
          <w:p w14:paraId="435D514B"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6E04743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Monosaccharides</w:t>
            </w:r>
          </w:p>
        </w:tc>
        <w:tc>
          <w:tcPr>
            <w:tcW w:w="942" w:type="pct"/>
            <w:shd w:val="clear" w:color="auto" w:fill="auto"/>
            <w:noWrap/>
            <w:vAlign w:val="bottom"/>
            <w:hideMark/>
          </w:tcPr>
          <w:p w14:paraId="3BEAAD15"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Hexoses</w:t>
            </w:r>
          </w:p>
        </w:tc>
        <w:tc>
          <w:tcPr>
            <w:tcW w:w="2416" w:type="pct"/>
            <w:shd w:val="clear" w:color="auto" w:fill="auto"/>
            <w:noWrap/>
            <w:vAlign w:val="bottom"/>
            <w:hideMark/>
          </w:tcPr>
          <w:p w14:paraId="34FECF7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Galactose Metabolism, Gluconeogenesis</w:t>
            </w:r>
          </w:p>
        </w:tc>
      </w:tr>
      <w:tr w:rsidR="00F74221" w:rsidRPr="00B93038" w14:paraId="0A92525F" w14:textId="77777777" w:rsidTr="00F74221">
        <w:trPr>
          <w:trHeight w:val="280"/>
        </w:trPr>
        <w:tc>
          <w:tcPr>
            <w:tcW w:w="825" w:type="pct"/>
            <w:shd w:val="clear" w:color="auto" w:fill="auto"/>
            <w:noWrap/>
            <w:vAlign w:val="bottom"/>
            <w:hideMark/>
          </w:tcPr>
          <w:p w14:paraId="40437837"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Lysine</w:t>
            </w:r>
          </w:p>
        </w:tc>
        <w:tc>
          <w:tcPr>
            <w:tcW w:w="286" w:type="pct"/>
            <w:shd w:val="clear" w:color="auto" w:fill="auto"/>
            <w:noWrap/>
            <w:vAlign w:val="bottom"/>
            <w:hideMark/>
          </w:tcPr>
          <w:p w14:paraId="77679D9C"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5D165C6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3DE31F6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4D38794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Biotin Metabolism, Carnitine Synthesis, Lysine Degradation, Transcription/Translation</w:t>
            </w:r>
          </w:p>
        </w:tc>
      </w:tr>
      <w:tr w:rsidR="00F74221" w:rsidRPr="00B93038" w14:paraId="03EAFB36" w14:textId="77777777" w:rsidTr="00F74221">
        <w:trPr>
          <w:trHeight w:val="280"/>
        </w:trPr>
        <w:tc>
          <w:tcPr>
            <w:tcW w:w="825" w:type="pct"/>
            <w:shd w:val="clear" w:color="auto" w:fill="auto"/>
            <w:noWrap/>
            <w:vAlign w:val="bottom"/>
            <w:hideMark/>
          </w:tcPr>
          <w:p w14:paraId="2A6EC05C"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Ornithine</w:t>
            </w:r>
          </w:p>
        </w:tc>
        <w:tc>
          <w:tcPr>
            <w:tcW w:w="286" w:type="pct"/>
            <w:shd w:val="clear" w:color="auto" w:fill="auto"/>
            <w:noWrap/>
            <w:vAlign w:val="bottom"/>
            <w:hideMark/>
          </w:tcPr>
          <w:p w14:paraId="75D64596"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3838863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6B8226E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7B1C335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Arginine and Proline Metabolism, Glycine and Serine Metabolism, Spermidine and Spermine Biosynthesis, Urea Cycle</w:t>
            </w:r>
          </w:p>
        </w:tc>
      </w:tr>
      <w:tr w:rsidR="00F74221" w:rsidRPr="00B93038" w14:paraId="526E7AB2" w14:textId="77777777" w:rsidTr="00F74221">
        <w:trPr>
          <w:trHeight w:val="280"/>
        </w:trPr>
        <w:tc>
          <w:tcPr>
            <w:tcW w:w="825" w:type="pct"/>
            <w:shd w:val="clear" w:color="auto" w:fill="auto"/>
            <w:noWrap/>
            <w:vAlign w:val="bottom"/>
            <w:hideMark/>
          </w:tcPr>
          <w:p w14:paraId="68B3EF4D"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Palmitic acid</w:t>
            </w:r>
          </w:p>
        </w:tc>
        <w:tc>
          <w:tcPr>
            <w:tcW w:w="286" w:type="pct"/>
            <w:shd w:val="clear" w:color="auto" w:fill="auto"/>
            <w:noWrap/>
            <w:vAlign w:val="bottom"/>
            <w:hideMark/>
          </w:tcPr>
          <w:p w14:paraId="59F04F03"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7314117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Acids and Conjugates</w:t>
            </w:r>
          </w:p>
        </w:tc>
        <w:tc>
          <w:tcPr>
            <w:tcW w:w="942" w:type="pct"/>
            <w:shd w:val="clear" w:color="auto" w:fill="auto"/>
            <w:noWrap/>
            <w:vAlign w:val="bottom"/>
            <w:hideMark/>
          </w:tcPr>
          <w:p w14:paraId="63EEC0D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Straight Chain Fatty Acids</w:t>
            </w:r>
          </w:p>
        </w:tc>
        <w:tc>
          <w:tcPr>
            <w:tcW w:w="2416" w:type="pct"/>
            <w:shd w:val="clear" w:color="auto" w:fill="auto"/>
            <w:noWrap/>
            <w:vAlign w:val="bottom"/>
            <w:hideMark/>
          </w:tcPr>
          <w:p w14:paraId="5969FF2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 Biosynthesis, Fatty Acid Elongation In Mitochondria, Fatty acid Metabolism, Glycerolipid Metabolism</w:t>
            </w:r>
          </w:p>
        </w:tc>
      </w:tr>
      <w:tr w:rsidR="00F74221" w:rsidRPr="00B93038" w14:paraId="757A8321" w14:textId="77777777" w:rsidTr="00F74221">
        <w:trPr>
          <w:trHeight w:val="280"/>
        </w:trPr>
        <w:tc>
          <w:tcPr>
            <w:tcW w:w="825" w:type="pct"/>
            <w:shd w:val="clear" w:color="auto" w:fill="auto"/>
            <w:noWrap/>
            <w:vAlign w:val="bottom"/>
            <w:hideMark/>
          </w:tcPr>
          <w:p w14:paraId="7365DE58"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Phenylalanine</w:t>
            </w:r>
          </w:p>
        </w:tc>
        <w:tc>
          <w:tcPr>
            <w:tcW w:w="286" w:type="pct"/>
            <w:shd w:val="clear" w:color="auto" w:fill="auto"/>
            <w:noWrap/>
            <w:vAlign w:val="bottom"/>
            <w:hideMark/>
          </w:tcPr>
          <w:p w14:paraId="260FD473"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48560AA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27E2ADF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3E3795CC"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Phenylalanine and Tyrosine Metabolism, Transcription/Translation</w:t>
            </w:r>
          </w:p>
        </w:tc>
      </w:tr>
      <w:tr w:rsidR="00F74221" w:rsidRPr="00B93038" w14:paraId="23DE0F51" w14:textId="77777777" w:rsidTr="00F74221">
        <w:trPr>
          <w:trHeight w:val="280"/>
        </w:trPr>
        <w:tc>
          <w:tcPr>
            <w:tcW w:w="825" w:type="pct"/>
            <w:shd w:val="clear" w:color="auto" w:fill="auto"/>
            <w:noWrap/>
            <w:vAlign w:val="bottom"/>
            <w:hideMark/>
          </w:tcPr>
          <w:p w14:paraId="780588E3"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Proline</w:t>
            </w:r>
          </w:p>
        </w:tc>
        <w:tc>
          <w:tcPr>
            <w:tcW w:w="286" w:type="pct"/>
            <w:shd w:val="clear" w:color="auto" w:fill="auto"/>
            <w:noWrap/>
            <w:vAlign w:val="bottom"/>
            <w:hideMark/>
          </w:tcPr>
          <w:p w14:paraId="07616F12"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3FEEA9B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41F23A8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04BB635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Arginine and Proline Metabolism, Transcription/Translation</w:t>
            </w:r>
          </w:p>
        </w:tc>
      </w:tr>
      <w:tr w:rsidR="00F74221" w:rsidRPr="00B93038" w14:paraId="18D4848A" w14:textId="77777777" w:rsidTr="00F74221">
        <w:trPr>
          <w:trHeight w:val="280"/>
        </w:trPr>
        <w:tc>
          <w:tcPr>
            <w:tcW w:w="825" w:type="pct"/>
            <w:shd w:val="clear" w:color="auto" w:fill="auto"/>
            <w:noWrap/>
            <w:vAlign w:val="bottom"/>
            <w:hideMark/>
          </w:tcPr>
          <w:p w14:paraId="18FE57B1"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Pyruvate</w:t>
            </w:r>
          </w:p>
        </w:tc>
        <w:tc>
          <w:tcPr>
            <w:tcW w:w="286" w:type="pct"/>
            <w:shd w:val="clear" w:color="auto" w:fill="auto"/>
            <w:noWrap/>
            <w:vAlign w:val="bottom"/>
            <w:hideMark/>
          </w:tcPr>
          <w:p w14:paraId="7076DCCB"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1B013A2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Keto-Acids and Derivatives</w:t>
            </w:r>
          </w:p>
        </w:tc>
        <w:tc>
          <w:tcPr>
            <w:tcW w:w="942" w:type="pct"/>
            <w:shd w:val="clear" w:color="auto" w:fill="auto"/>
            <w:noWrap/>
            <w:vAlign w:val="bottom"/>
            <w:hideMark/>
          </w:tcPr>
          <w:p w14:paraId="191FCA8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Keto-Acids and Derivatives</w:t>
            </w:r>
          </w:p>
        </w:tc>
        <w:tc>
          <w:tcPr>
            <w:tcW w:w="2416" w:type="pct"/>
            <w:shd w:val="clear" w:color="auto" w:fill="auto"/>
            <w:noWrap/>
            <w:vAlign w:val="bottom"/>
            <w:hideMark/>
          </w:tcPr>
          <w:p w14:paraId="73A8410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Alanine Metabolism, Amino Sugar Metabolism, Ammonia Recycling, Citric Acid Cycle, Cysteine Metabolism, Gluconeogenesis</w:t>
            </w:r>
          </w:p>
        </w:tc>
      </w:tr>
      <w:tr w:rsidR="00F74221" w:rsidRPr="00B93038" w14:paraId="23BAD1D2" w14:textId="77777777" w:rsidTr="00F74221">
        <w:trPr>
          <w:trHeight w:val="280"/>
        </w:trPr>
        <w:tc>
          <w:tcPr>
            <w:tcW w:w="825" w:type="pct"/>
            <w:shd w:val="clear" w:color="auto" w:fill="auto"/>
            <w:noWrap/>
            <w:vAlign w:val="bottom"/>
            <w:hideMark/>
          </w:tcPr>
          <w:p w14:paraId="2BED5C81"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Threonine</w:t>
            </w:r>
          </w:p>
        </w:tc>
        <w:tc>
          <w:tcPr>
            <w:tcW w:w="286" w:type="pct"/>
            <w:shd w:val="clear" w:color="auto" w:fill="auto"/>
            <w:noWrap/>
            <w:vAlign w:val="bottom"/>
            <w:hideMark/>
          </w:tcPr>
          <w:p w14:paraId="4C028772"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1812FE4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2BB29A4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7DD65D0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Glycine and Serine Metabolism</w:t>
            </w:r>
          </w:p>
        </w:tc>
      </w:tr>
      <w:tr w:rsidR="00F74221" w:rsidRPr="00B93038" w14:paraId="2DF42FCB" w14:textId="77777777" w:rsidTr="00F74221">
        <w:trPr>
          <w:trHeight w:val="280"/>
        </w:trPr>
        <w:tc>
          <w:tcPr>
            <w:tcW w:w="825" w:type="pct"/>
            <w:shd w:val="clear" w:color="auto" w:fill="auto"/>
            <w:noWrap/>
            <w:vAlign w:val="bottom"/>
            <w:hideMark/>
          </w:tcPr>
          <w:p w14:paraId="511032D7"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Tyrosine</w:t>
            </w:r>
          </w:p>
        </w:tc>
        <w:tc>
          <w:tcPr>
            <w:tcW w:w="286" w:type="pct"/>
            <w:shd w:val="clear" w:color="auto" w:fill="auto"/>
            <w:noWrap/>
            <w:vAlign w:val="bottom"/>
            <w:hideMark/>
          </w:tcPr>
          <w:p w14:paraId="757B3BDE"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13B4A4B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141FDE1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259706FF"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Catecholamine Biosynthesis, Phenylalanine and Tyrosine Metabolism, Transcription/Translation, Tyrosine Metabolism</w:t>
            </w:r>
          </w:p>
        </w:tc>
      </w:tr>
      <w:tr w:rsidR="00F74221" w:rsidRPr="00B93038" w14:paraId="0CEF23E4" w14:textId="77777777" w:rsidTr="00F74221">
        <w:trPr>
          <w:trHeight w:val="280"/>
        </w:trPr>
        <w:tc>
          <w:tcPr>
            <w:tcW w:w="825" w:type="pct"/>
            <w:shd w:val="clear" w:color="auto" w:fill="auto"/>
            <w:noWrap/>
            <w:vAlign w:val="bottom"/>
            <w:hideMark/>
          </w:tcPr>
          <w:p w14:paraId="0BDA3958"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lastRenderedPageBreak/>
              <w:t>Urea</w:t>
            </w:r>
          </w:p>
        </w:tc>
        <w:tc>
          <w:tcPr>
            <w:tcW w:w="286" w:type="pct"/>
            <w:shd w:val="clear" w:color="auto" w:fill="auto"/>
            <w:noWrap/>
            <w:vAlign w:val="bottom"/>
            <w:hideMark/>
          </w:tcPr>
          <w:p w14:paraId="4DD69A18"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3CE25C3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Ureas</w:t>
            </w:r>
          </w:p>
        </w:tc>
        <w:tc>
          <w:tcPr>
            <w:tcW w:w="942" w:type="pct"/>
            <w:shd w:val="clear" w:color="auto" w:fill="auto"/>
            <w:noWrap/>
            <w:vAlign w:val="bottom"/>
            <w:hideMark/>
          </w:tcPr>
          <w:p w14:paraId="52F981F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N/A</w:t>
            </w:r>
          </w:p>
        </w:tc>
        <w:tc>
          <w:tcPr>
            <w:tcW w:w="2416" w:type="pct"/>
            <w:shd w:val="clear" w:color="auto" w:fill="auto"/>
            <w:noWrap/>
            <w:vAlign w:val="bottom"/>
            <w:hideMark/>
          </w:tcPr>
          <w:p w14:paraId="48FC2A4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Arginine and Proline Metabolism, Urea Cycle</w:t>
            </w:r>
          </w:p>
        </w:tc>
      </w:tr>
      <w:tr w:rsidR="00F74221" w:rsidRPr="00B93038" w14:paraId="5C75ADBA" w14:textId="77777777" w:rsidTr="00F74221">
        <w:trPr>
          <w:trHeight w:val="280"/>
        </w:trPr>
        <w:tc>
          <w:tcPr>
            <w:tcW w:w="825" w:type="pct"/>
            <w:shd w:val="clear" w:color="auto" w:fill="auto"/>
            <w:noWrap/>
            <w:vAlign w:val="bottom"/>
            <w:hideMark/>
          </w:tcPr>
          <w:p w14:paraId="4D408E7C" w14:textId="77777777" w:rsidR="00F74221" w:rsidRPr="00B93038" w:rsidRDefault="00F74221" w:rsidP="00F74221">
            <w:pPr>
              <w:ind w:right="473"/>
              <w:rPr>
                <w:rFonts w:ascii="Calibri" w:eastAsia="Times New Roman" w:hAnsi="Calibri"/>
                <w:color w:val="000000"/>
                <w:sz w:val="18"/>
                <w:szCs w:val="18"/>
              </w:rPr>
            </w:pPr>
            <w:r w:rsidRPr="00B93038">
              <w:rPr>
                <w:rFonts w:ascii="Calibri" w:eastAsia="Times New Roman" w:hAnsi="Calibri"/>
                <w:color w:val="000000"/>
                <w:sz w:val="18"/>
                <w:szCs w:val="18"/>
              </w:rPr>
              <w:t>Valine</w:t>
            </w:r>
          </w:p>
        </w:tc>
        <w:tc>
          <w:tcPr>
            <w:tcW w:w="286" w:type="pct"/>
            <w:shd w:val="clear" w:color="auto" w:fill="auto"/>
            <w:noWrap/>
            <w:vAlign w:val="bottom"/>
            <w:hideMark/>
          </w:tcPr>
          <w:p w14:paraId="40A70EC7"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0.015</w:t>
            </w:r>
          </w:p>
        </w:tc>
        <w:tc>
          <w:tcPr>
            <w:tcW w:w="531" w:type="pct"/>
            <w:shd w:val="clear" w:color="auto" w:fill="auto"/>
            <w:noWrap/>
            <w:vAlign w:val="bottom"/>
            <w:hideMark/>
          </w:tcPr>
          <w:p w14:paraId="63EEB91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942" w:type="pct"/>
            <w:shd w:val="clear" w:color="auto" w:fill="auto"/>
            <w:noWrap/>
            <w:vAlign w:val="bottom"/>
            <w:hideMark/>
          </w:tcPr>
          <w:p w14:paraId="583E93AC"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2416" w:type="pct"/>
            <w:shd w:val="clear" w:color="auto" w:fill="auto"/>
            <w:noWrap/>
            <w:vAlign w:val="bottom"/>
            <w:hideMark/>
          </w:tcPr>
          <w:p w14:paraId="73B406CC"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Propanoate Metabolism, Transcription/Translation</w:t>
            </w:r>
          </w:p>
        </w:tc>
      </w:tr>
    </w:tbl>
    <w:p w14:paraId="2B3D45CD" w14:textId="77777777" w:rsidR="00F74221" w:rsidRDefault="00F74221" w:rsidP="00F74221">
      <w:pPr>
        <w:rPr>
          <w:b/>
          <w:sz w:val="20"/>
          <w:szCs w:val="20"/>
        </w:rPr>
      </w:pPr>
    </w:p>
    <w:p w14:paraId="2996AEE2" w14:textId="68D552A8" w:rsidR="00F74221" w:rsidRDefault="00F74221" w:rsidP="00F74221">
      <w:pPr>
        <w:rPr>
          <w:sz w:val="20"/>
          <w:szCs w:val="20"/>
        </w:rPr>
      </w:pPr>
      <w:r w:rsidRPr="00F74221">
        <w:rPr>
          <w:sz w:val="20"/>
          <w:szCs w:val="20"/>
        </w:rPr>
        <w:t>Table S2. Metabolites classification and pathways from HMDB and rank score of metabolites in Figure 7A.</w:t>
      </w:r>
    </w:p>
    <w:p w14:paraId="0F6C6339" w14:textId="77777777" w:rsidR="00CD1BC5" w:rsidRDefault="00CD1BC5" w:rsidP="00F74221">
      <w:pPr>
        <w:rPr>
          <w:sz w:val="20"/>
          <w:szCs w:val="20"/>
        </w:rPr>
      </w:pPr>
    </w:p>
    <w:p w14:paraId="4E8B3AF0" w14:textId="1440F6FA" w:rsidR="00F74221" w:rsidRPr="006B616A" w:rsidRDefault="00F74221" w:rsidP="00F74221">
      <w:pPr>
        <w:rPr>
          <w:sz w:val="20"/>
          <w:szCs w:val="20"/>
        </w:rPr>
      </w:pPr>
      <w:r>
        <w:rPr>
          <w:sz w:val="20"/>
          <w:szCs w:val="20"/>
        </w:rPr>
        <w:br w:type="page"/>
      </w:r>
    </w:p>
    <w:tbl>
      <w:tblPr>
        <w:tblpPr w:leftFromText="180" w:rightFromText="180" w:vertAnchor="page" w:horzAnchor="page" w:tblpX="949" w:tblpY="8641"/>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720"/>
        <w:gridCol w:w="2190"/>
        <w:gridCol w:w="2114"/>
        <w:gridCol w:w="4207"/>
      </w:tblGrid>
      <w:tr w:rsidR="00F74221" w:rsidRPr="00B93038" w14:paraId="23321172" w14:textId="77777777" w:rsidTr="00F74221">
        <w:trPr>
          <w:trHeight w:val="1456"/>
        </w:trPr>
        <w:tc>
          <w:tcPr>
            <w:tcW w:w="1754" w:type="dxa"/>
            <w:shd w:val="clear" w:color="auto" w:fill="auto"/>
            <w:noWrap/>
            <w:vAlign w:val="bottom"/>
            <w:hideMark/>
          </w:tcPr>
          <w:p w14:paraId="5281DE1A"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lastRenderedPageBreak/>
              <w:t>metabolite</w:t>
            </w:r>
          </w:p>
        </w:tc>
        <w:tc>
          <w:tcPr>
            <w:tcW w:w="720" w:type="dxa"/>
            <w:shd w:val="clear" w:color="auto" w:fill="auto"/>
            <w:noWrap/>
            <w:vAlign w:val="bottom"/>
            <w:hideMark/>
          </w:tcPr>
          <w:p w14:paraId="5B325BFE"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t>rank</w:t>
            </w:r>
          </w:p>
        </w:tc>
        <w:tc>
          <w:tcPr>
            <w:tcW w:w="2190" w:type="dxa"/>
            <w:shd w:val="clear" w:color="auto" w:fill="auto"/>
            <w:noWrap/>
            <w:vAlign w:val="bottom"/>
            <w:hideMark/>
          </w:tcPr>
          <w:p w14:paraId="360010DE"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t>class</w:t>
            </w:r>
          </w:p>
        </w:tc>
        <w:tc>
          <w:tcPr>
            <w:tcW w:w="2114" w:type="dxa"/>
            <w:shd w:val="clear" w:color="auto" w:fill="auto"/>
            <w:noWrap/>
            <w:vAlign w:val="bottom"/>
            <w:hideMark/>
          </w:tcPr>
          <w:p w14:paraId="3B93D636"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t>subclass</w:t>
            </w:r>
          </w:p>
        </w:tc>
        <w:tc>
          <w:tcPr>
            <w:tcW w:w="4207" w:type="dxa"/>
            <w:shd w:val="clear" w:color="auto" w:fill="auto"/>
            <w:noWrap/>
            <w:vAlign w:val="bottom"/>
            <w:hideMark/>
          </w:tcPr>
          <w:p w14:paraId="318DACFC" w14:textId="77777777" w:rsidR="00F74221" w:rsidRPr="00EE502D" w:rsidRDefault="00F74221" w:rsidP="00F74221">
            <w:pPr>
              <w:rPr>
                <w:rFonts w:ascii="Calibri" w:eastAsia="Times New Roman" w:hAnsi="Calibri"/>
                <w:b/>
                <w:color w:val="000000"/>
                <w:sz w:val="18"/>
                <w:szCs w:val="18"/>
              </w:rPr>
            </w:pPr>
            <w:r w:rsidRPr="00EE502D">
              <w:rPr>
                <w:rFonts w:ascii="Calibri" w:eastAsia="Times New Roman" w:hAnsi="Calibri"/>
                <w:b/>
                <w:color w:val="000000"/>
                <w:sz w:val="18"/>
                <w:szCs w:val="18"/>
              </w:rPr>
              <w:t>pathways</w:t>
            </w:r>
          </w:p>
        </w:tc>
      </w:tr>
      <w:tr w:rsidR="00F74221" w:rsidRPr="00B93038" w14:paraId="6E2F628A" w14:textId="77777777" w:rsidTr="00F74221">
        <w:trPr>
          <w:trHeight w:val="1456"/>
        </w:trPr>
        <w:tc>
          <w:tcPr>
            <w:tcW w:w="1754" w:type="dxa"/>
            <w:shd w:val="clear" w:color="auto" w:fill="auto"/>
            <w:noWrap/>
            <w:vAlign w:val="bottom"/>
            <w:hideMark/>
          </w:tcPr>
          <w:p w14:paraId="52D40A5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Phenylalanine</w:t>
            </w:r>
          </w:p>
        </w:tc>
        <w:tc>
          <w:tcPr>
            <w:tcW w:w="720" w:type="dxa"/>
            <w:shd w:val="clear" w:color="auto" w:fill="auto"/>
            <w:noWrap/>
            <w:vAlign w:val="bottom"/>
            <w:hideMark/>
          </w:tcPr>
          <w:p w14:paraId="2B9DBA32"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0.132</w:t>
            </w:r>
          </w:p>
        </w:tc>
        <w:tc>
          <w:tcPr>
            <w:tcW w:w="2190" w:type="dxa"/>
            <w:shd w:val="clear" w:color="auto" w:fill="auto"/>
            <w:noWrap/>
            <w:vAlign w:val="bottom"/>
            <w:hideMark/>
          </w:tcPr>
          <w:p w14:paraId="5CFCDD0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6BB8B06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2754759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Phenylalanine and Tyrosine Metabolism, Transcription/Translation</w:t>
            </w:r>
          </w:p>
        </w:tc>
      </w:tr>
      <w:tr w:rsidR="00F74221" w:rsidRPr="00B93038" w14:paraId="5A138F87" w14:textId="77777777" w:rsidTr="00F74221">
        <w:trPr>
          <w:trHeight w:val="1456"/>
        </w:trPr>
        <w:tc>
          <w:tcPr>
            <w:tcW w:w="1754" w:type="dxa"/>
            <w:shd w:val="clear" w:color="auto" w:fill="auto"/>
            <w:noWrap/>
            <w:vAlign w:val="bottom"/>
            <w:hideMark/>
          </w:tcPr>
          <w:p w14:paraId="2AE435A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Sarcosine</w:t>
            </w:r>
          </w:p>
        </w:tc>
        <w:tc>
          <w:tcPr>
            <w:tcW w:w="720" w:type="dxa"/>
            <w:shd w:val="clear" w:color="auto" w:fill="auto"/>
            <w:noWrap/>
            <w:vAlign w:val="bottom"/>
            <w:hideMark/>
          </w:tcPr>
          <w:p w14:paraId="0FEC1D45"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0.132</w:t>
            </w:r>
          </w:p>
        </w:tc>
        <w:tc>
          <w:tcPr>
            <w:tcW w:w="2190" w:type="dxa"/>
            <w:shd w:val="clear" w:color="auto" w:fill="auto"/>
            <w:noWrap/>
            <w:vAlign w:val="bottom"/>
            <w:hideMark/>
          </w:tcPr>
          <w:p w14:paraId="702B975C"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535AA69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57B51C8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Glycine and Serine Metabolism</w:t>
            </w:r>
          </w:p>
        </w:tc>
      </w:tr>
      <w:tr w:rsidR="00F74221" w:rsidRPr="00B93038" w14:paraId="351250B8" w14:textId="77777777" w:rsidTr="00F74221">
        <w:trPr>
          <w:trHeight w:val="1456"/>
        </w:trPr>
        <w:tc>
          <w:tcPr>
            <w:tcW w:w="1754" w:type="dxa"/>
            <w:shd w:val="clear" w:color="auto" w:fill="auto"/>
            <w:noWrap/>
            <w:vAlign w:val="bottom"/>
            <w:hideMark/>
          </w:tcPr>
          <w:p w14:paraId="3B7601E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Valine</w:t>
            </w:r>
          </w:p>
        </w:tc>
        <w:tc>
          <w:tcPr>
            <w:tcW w:w="720" w:type="dxa"/>
            <w:shd w:val="clear" w:color="auto" w:fill="auto"/>
            <w:noWrap/>
            <w:vAlign w:val="bottom"/>
            <w:hideMark/>
          </w:tcPr>
          <w:p w14:paraId="3933451F"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0.079</w:t>
            </w:r>
          </w:p>
        </w:tc>
        <w:tc>
          <w:tcPr>
            <w:tcW w:w="2190" w:type="dxa"/>
            <w:shd w:val="clear" w:color="auto" w:fill="auto"/>
            <w:noWrap/>
            <w:vAlign w:val="bottom"/>
            <w:hideMark/>
          </w:tcPr>
          <w:p w14:paraId="7EEF801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4510E2C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33D95EB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Propanoate Metabolism, Transcription/Translation</w:t>
            </w:r>
          </w:p>
        </w:tc>
      </w:tr>
      <w:tr w:rsidR="00F74221" w:rsidRPr="00B93038" w14:paraId="7B8833A1" w14:textId="77777777" w:rsidTr="00F74221">
        <w:trPr>
          <w:trHeight w:val="1456"/>
        </w:trPr>
        <w:tc>
          <w:tcPr>
            <w:tcW w:w="1754" w:type="dxa"/>
            <w:shd w:val="clear" w:color="auto" w:fill="auto"/>
            <w:noWrap/>
            <w:vAlign w:val="bottom"/>
            <w:hideMark/>
          </w:tcPr>
          <w:p w14:paraId="1AAF60F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2-Aminobutyrate</w:t>
            </w:r>
          </w:p>
        </w:tc>
        <w:tc>
          <w:tcPr>
            <w:tcW w:w="720" w:type="dxa"/>
            <w:shd w:val="clear" w:color="auto" w:fill="auto"/>
            <w:noWrap/>
            <w:vAlign w:val="bottom"/>
            <w:hideMark/>
          </w:tcPr>
          <w:p w14:paraId="55278718"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687699B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28F477FF"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45AC3C0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2360B5A0" w14:textId="77777777" w:rsidTr="00F74221">
        <w:trPr>
          <w:trHeight w:val="1456"/>
        </w:trPr>
        <w:tc>
          <w:tcPr>
            <w:tcW w:w="1754" w:type="dxa"/>
            <w:shd w:val="clear" w:color="auto" w:fill="auto"/>
            <w:noWrap/>
            <w:vAlign w:val="bottom"/>
            <w:hideMark/>
          </w:tcPr>
          <w:p w14:paraId="3331AC3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2-Hydroxyisovalerate</w:t>
            </w:r>
          </w:p>
        </w:tc>
        <w:tc>
          <w:tcPr>
            <w:tcW w:w="720" w:type="dxa"/>
            <w:shd w:val="clear" w:color="auto" w:fill="auto"/>
            <w:noWrap/>
            <w:vAlign w:val="bottom"/>
            <w:hideMark/>
          </w:tcPr>
          <w:p w14:paraId="13A77B4B"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1B319529"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Acids and Conjugates</w:t>
            </w:r>
          </w:p>
        </w:tc>
        <w:tc>
          <w:tcPr>
            <w:tcW w:w="2114" w:type="dxa"/>
            <w:shd w:val="clear" w:color="auto" w:fill="auto"/>
            <w:noWrap/>
            <w:vAlign w:val="bottom"/>
            <w:hideMark/>
          </w:tcPr>
          <w:p w14:paraId="5834001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Branched Fatty Acids</w:t>
            </w:r>
          </w:p>
        </w:tc>
        <w:tc>
          <w:tcPr>
            <w:tcW w:w="4207" w:type="dxa"/>
            <w:shd w:val="clear" w:color="auto" w:fill="auto"/>
            <w:noWrap/>
            <w:vAlign w:val="bottom"/>
            <w:hideMark/>
          </w:tcPr>
          <w:p w14:paraId="5DF5378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04D28AFB" w14:textId="77777777" w:rsidTr="00F74221">
        <w:trPr>
          <w:trHeight w:val="1456"/>
        </w:trPr>
        <w:tc>
          <w:tcPr>
            <w:tcW w:w="1754" w:type="dxa"/>
            <w:shd w:val="clear" w:color="auto" w:fill="auto"/>
            <w:noWrap/>
            <w:vAlign w:val="bottom"/>
            <w:hideMark/>
          </w:tcPr>
          <w:p w14:paraId="502484B4"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Alanine</w:t>
            </w:r>
          </w:p>
        </w:tc>
        <w:tc>
          <w:tcPr>
            <w:tcW w:w="720" w:type="dxa"/>
            <w:shd w:val="clear" w:color="auto" w:fill="auto"/>
            <w:noWrap/>
            <w:vAlign w:val="bottom"/>
            <w:hideMark/>
          </w:tcPr>
          <w:p w14:paraId="2403D578"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42211B89"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0B2A206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6A2ABE4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Alanine Metabolism</w:t>
            </w:r>
          </w:p>
        </w:tc>
      </w:tr>
      <w:tr w:rsidR="00F74221" w:rsidRPr="00B93038" w14:paraId="48711234" w14:textId="77777777" w:rsidTr="00F74221">
        <w:trPr>
          <w:trHeight w:val="1456"/>
        </w:trPr>
        <w:tc>
          <w:tcPr>
            <w:tcW w:w="1754" w:type="dxa"/>
            <w:shd w:val="clear" w:color="auto" w:fill="auto"/>
            <w:noWrap/>
            <w:vAlign w:val="bottom"/>
            <w:hideMark/>
          </w:tcPr>
          <w:p w14:paraId="1C2A62D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Dimethylglycine</w:t>
            </w:r>
          </w:p>
        </w:tc>
        <w:tc>
          <w:tcPr>
            <w:tcW w:w="720" w:type="dxa"/>
            <w:shd w:val="clear" w:color="auto" w:fill="auto"/>
            <w:noWrap/>
            <w:vAlign w:val="bottom"/>
            <w:hideMark/>
          </w:tcPr>
          <w:p w14:paraId="211F0A5B"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3EDD11A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41FA661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3E2C66D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Betaine Metabolism, Glycine and Serine Metabolism, Methionine Metabolism</w:t>
            </w:r>
          </w:p>
        </w:tc>
      </w:tr>
      <w:tr w:rsidR="00F74221" w:rsidRPr="00B93038" w14:paraId="15D89AD6" w14:textId="77777777" w:rsidTr="00F74221">
        <w:trPr>
          <w:trHeight w:val="1456"/>
        </w:trPr>
        <w:tc>
          <w:tcPr>
            <w:tcW w:w="1754" w:type="dxa"/>
            <w:shd w:val="clear" w:color="auto" w:fill="auto"/>
            <w:noWrap/>
            <w:vAlign w:val="bottom"/>
            <w:hideMark/>
          </w:tcPr>
          <w:p w14:paraId="34D42A29"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Isoleucine</w:t>
            </w:r>
          </w:p>
        </w:tc>
        <w:tc>
          <w:tcPr>
            <w:tcW w:w="720" w:type="dxa"/>
            <w:shd w:val="clear" w:color="auto" w:fill="auto"/>
            <w:noWrap/>
            <w:vAlign w:val="bottom"/>
            <w:hideMark/>
          </w:tcPr>
          <w:p w14:paraId="4A62357E"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34AB115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21C620E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48E860D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Transcription/Translation</w:t>
            </w:r>
          </w:p>
        </w:tc>
      </w:tr>
      <w:tr w:rsidR="00F74221" w:rsidRPr="00B93038" w14:paraId="7DEC2505" w14:textId="77777777" w:rsidTr="00F74221">
        <w:trPr>
          <w:trHeight w:val="1456"/>
        </w:trPr>
        <w:tc>
          <w:tcPr>
            <w:tcW w:w="1754" w:type="dxa"/>
            <w:shd w:val="clear" w:color="auto" w:fill="auto"/>
            <w:noWrap/>
            <w:vAlign w:val="bottom"/>
            <w:hideMark/>
          </w:tcPr>
          <w:p w14:paraId="31B8BF1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lastRenderedPageBreak/>
              <w:t>Leucine</w:t>
            </w:r>
          </w:p>
        </w:tc>
        <w:tc>
          <w:tcPr>
            <w:tcW w:w="720" w:type="dxa"/>
            <w:shd w:val="clear" w:color="auto" w:fill="auto"/>
            <w:noWrap/>
            <w:vAlign w:val="bottom"/>
            <w:hideMark/>
          </w:tcPr>
          <w:p w14:paraId="17878370"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44CA2E5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1B6174F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04D1C12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Transcription/Translation</w:t>
            </w:r>
          </w:p>
        </w:tc>
      </w:tr>
      <w:tr w:rsidR="00F74221" w:rsidRPr="00B93038" w14:paraId="32653F7F" w14:textId="77777777" w:rsidTr="00F74221">
        <w:trPr>
          <w:trHeight w:val="1456"/>
        </w:trPr>
        <w:tc>
          <w:tcPr>
            <w:tcW w:w="1754" w:type="dxa"/>
            <w:shd w:val="clear" w:color="auto" w:fill="auto"/>
            <w:noWrap/>
            <w:vAlign w:val="bottom"/>
            <w:hideMark/>
          </w:tcPr>
          <w:p w14:paraId="67553CE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Ornithine</w:t>
            </w:r>
          </w:p>
        </w:tc>
        <w:tc>
          <w:tcPr>
            <w:tcW w:w="720" w:type="dxa"/>
            <w:shd w:val="clear" w:color="auto" w:fill="auto"/>
            <w:noWrap/>
            <w:vAlign w:val="bottom"/>
            <w:hideMark/>
          </w:tcPr>
          <w:p w14:paraId="4C0F6A13"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06653F29"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7534BCB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0338BADC"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Arginine and Proline Metabolism, Glycine and Serine Metabolism, Spermidine and Spermine Biosynthesis, Urea Cycle</w:t>
            </w:r>
          </w:p>
        </w:tc>
      </w:tr>
      <w:tr w:rsidR="00F74221" w:rsidRPr="00B93038" w14:paraId="7430AA1B" w14:textId="77777777" w:rsidTr="00F74221">
        <w:trPr>
          <w:trHeight w:val="1456"/>
        </w:trPr>
        <w:tc>
          <w:tcPr>
            <w:tcW w:w="1754" w:type="dxa"/>
            <w:shd w:val="clear" w:color="auto" w:fill="auto"/>
            <w:noWrap/>
            <w:vAlign w:val="bottom"/>
            <w:hideMark/>
          </w:tcPr>
          <w:p w14:paraId="7141C01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Threonine</w:t>
            </w:r>
          </w:p>
        </w:tc>
        <w:tc>
          <w:tcPr>
            <w:tcW w:w="720" w:type="dxa"/>
            <w:shd w:val="clear" w:color="auto" w:fill="auto"/>
            <w:noWrap/>
            <w:vAlign w:val="bottom"/>
            <w:hideMark/>
          </w:tcPr>
          <w:p w14:paraId="0273BBE8"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2CFC5C9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687803B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5F344B1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Glycine and Serine Metabolism</w:t>
            </w:r>
          </w:p>
        </w:tc>
      </w:tr>
      <w:tr w:rsidR="00F74221" w:rsidRPr="00B93038" w14:paraId="110BF2A9" w14:textId="77777777" w:rsidTr="00F74221">
        <w:trPr>
          <w:trHeight w:val="1456"/>
        </w:trPr>
        <w:tc>
          <w:tcPr>
            <w:tcW w:w="1754" w:type="dxa"/>
            <w:shd w:val="clear" w:color="auto" w:fill="auto"/>
            <w:noWrap/>
            <w:vAlign w:val="bottom"/>
            <w:hideMark/>
          </w:tcPr>
          <w:p w14:paraId="09FAD35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Urea</w:t>
            </w:r>
          </w:p>
        </w:tc>
        <w:tc>
          <w:tcPr>
            <w:tcW w:w="720" w:type="dxa"/>
            <w:shd w:val="clear" w:color="auto" w:fill="auto"/>
            <w:noWrap/>
            <w:vAlign w:val="bottom"/>
            <w:hideMark/>
          </w:tcPr>
          <w:p w14:paraId="768A31BA"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0.053</w:t>
            </w:r>
          </w:p>
        </w:tc>
        <w:tc>
          <w:tcPr>
            <w:tcW w:w="2190" w:type="dxa"/>
            <w:shd w:val="clear" w:color="auto" w:fill="auto"/>
            <w:noWrap/>
            <w:vAlign w:val="bottom"/>
            <w:hideMark/>
          </w:tcPr>
          <w:p w14:paraId="2EA2A23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Ureas</w:t>
            </w:r>
          </w:p>
        </w:tc>
        <w:tc>
          <w:tcPr>
            <w:tcW w:w="2114" w:type="dxa"/>
            <w:shd w:val="clear" w:color="auto" w:fill="auto"/>
            <w:noWrap/>
            <w:vAlign w:val="bottom"/>
            <w:hideMark/>
          </w:tcPr>
          <w:p w14:paraId="3035ABF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N/A</w:t>
            </w:r>
          </w:p>
        </w:tc>
        <w:tc>
          <w:tcPr>
            <w:tcW w:w="4207" w:type="dxa"/>
            <w:shd w:val="clear" w:color="auto" w:fill="auto"/>
            <w:noWrap/>
            <w:vAlign w:val="bottom"/>
            <w:hideMark/>
          </w:tcPr>
          <w:p w14:paraId="1613CF7F"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Arginine and Proline Metabolism, Urea Cycle</w:t>
            </w:r>
          </w:p>
        </w:tc>
      </w:tr>
      <w:tr w:rsidR="00F74221" w:rsidRPr="00B93038" w14:paraId="11CE6DEC" w14:textId="77777777" w:rsidTr="00F74221">
        <w:trPr>
          <w:trHeight w:val="1456"/>
        </w:trPr>
        <w:tc>
          <w:tcPr>
            <w:tcW w:w="1754" w:type="dxa"/>
            <w:shd w:val="clear" w:color="auto" w:fill="auto"/>
            <w:noWrap/>
            <w:vAlign w:val="bottom"/>
            <w:hideMark/>
          </w:tcPr>
          <w:p w14:paraId="126907B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Betaine</w:t>
            </w:r>
          </w:p>
        </w:tc>
        <w:tc>
          <w:tcPr>
            <w:tcW w:w="720" w:type="dxa"/>
            <w:shd w:val="clear" w:color="auto" w:fill="auto"/>
            <w:noWrap/>
            <w:vAlign w:val="bottom"/>
            <w:hideMark/>
          </w:tcPr>
          <w:p w14:paraId="625A253D"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0.026</w:t>
            </w:r>
          </w:p>
        </w:tc>
        <w:tc>
          <w:tcPr>
            <w:tcW w:w="2190" w:type="dxa"/>
            <w:shd w:val="clear" w:color="auto" w:fill="auto"/>
            <w:noWrap/>
            <w:vAlign w:val="bottom"/>
            <w:hideMark/>
          </w:tcPr>
          <w:p w14:paraId="3753779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1820B5C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39EB454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Betaine Metabolism, Glycine and Serine Metabolism, Methionine Metabolism</w:t>
            </w:r>
          </w:p>
        </w:tc>
      </w:tr>
      <w:tr w:rsidR="00F74221" w:rsidRPr="00B93038" w14:paraId="5C806259" w14:textId="77777777" w:rsidTr="00F74221">
        <w:trPr>
          <w:trHeight w:val="1456"/>
        </w:trPr>
        <w:tc>
          <w:tcPr>
            <w:tcW w:w="1754" w:type="dxa"/>
            <w:shd w:val="clear" w:color="auto" w:fill="auto"/>
            <w:noWrap/>
            <w:vAlign w:val="bottom"/>
            <w:hideMark/>
          </w:tcPr>
          <w:p w14:paraId="375BAD2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Isobutyrate</w:t>
            </w:r>
          </w:p>
        </w:tc>
        <w:tc>
          <w:tcPr>
            <w:tcW w:w="720" w:type="dxa"/>
            <w:shd w:val="clear" w:color="auto" w:fill="auto"/>
            <w:noWrap/>
            <w:vAlign w:val="bottom"/>
            <w:hideMark/>
          </w:tcPr>
          <w:p w14:paraId="530DC63F"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0.026</w:t>
            </w:r>
          </w:p>
        </w:tc>
        <w:tc>
          <w:tcPr>
            <w:tcW w:w="2190" w:type="dxa"/>
            <w:shd w:val="clear" w:color="auto" w:fill="auto"/>
            <w:noWrap/>
            <w:vAlign w:val="bottom"/>
            <w:hideMark/>
          </w:tcPr>
          <w:p w14:paraId="527B3102"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Carboxylic Acids and Derivatives</w:t>
            </w:r>
          </w:p>
        </w:tc>
        <w:tc>
          <w:tcPr>
            <w:tcW w:w="2114" w:type="dxa"/>
            <w:shd w:val="clear" w:color="auto" w:fill="auto"/>
            <w:noWrap/>
            <w:vAlign w:val="bottom"/>
            <w:hideMark/>
          </w:tcPr>
          <w:p w14:paraId="5B13F69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Carboxylic Acid Derivatives</w:t>
            </w:r>
          </w:p>
        </w:tc>
        <w:tc>
          <w:tcPr>
            <w:tcW w:w="4207" w:type="dxa"/>
            <w:shd w:val="clear" w:color="auto" w:fill="auto"/>
            <w:noWrap/>
            <w:vAlign w:val="bottom"/>
            <w:hideMark/>
          </w:tcPr>
          <w:p w14:paraId="27E6CE2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16064989" w14:textId="77777777" w:rsidTr="00F74221">
        <w:trPr>
          <w:trHeight w:val="1456"/>
        </w:trPr>
        <w:tc>
          <w:tcPr>
            <w:tcW w:w="1754" w:type="dxa"/>
            <w:shd w:val="clear" w:color="auto" w:fill="auto"/>
            <w:noWrap/>
            <w:vAlign w:val="bottom"/>
            <w:hideMark/>
          </w:tcPr>
          <w:p w14:paraId="4449CD8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Methanol</w:t>
            </w:r>
          </w:p>
        </w:tc>
        <w:tc>
          <w:tcPr>
            <w:tcW w:w="720" w:type="dxa"/>
            <w:shd w:val="clear" w:color="auto" w:fill="auto"/>
            <w:noWrap/>
            <w:vAlign w:val="bottom"/>
            <w:hideMark/>
          </w:tcPr>
          <w:p w14:paraId="5E5F25D6"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0.026</w:t>
            </w:r>
          </w:p>
        </w:tc>
        <w:tc>
          <w:tcPr>
            <w:tcW w:w="2190" w:type="dxa"/>
            <w:shd w:val="clear" w:color="auto" w:fill="auto"/>
            <w:noWrap/>
            <w:vAlign w:val="bottom"/>
            <w:hideMark/>
          </w:tcPr>
          <w:p w14:paraId="033B628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Alcohols and Polyols</w:t>
            </w:r>
          </w:p>
        </w:tc>
        <w:tc>
          <w:tcPr>
            <w:tcW w:w="2114" w:type="dxa"/>
            <w:shd w:val="clear" w:color="auto" w:fill="auto"/>
            <w:noWrap/>
            <w:vAlign w:val="bottom"/>
            <w:hideMark/>
          </w:tcPr>
          <w:p w14:paraId="183EA79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Primary Alcohols</w:t>
            </w:r>
          </w:p>
        </w:tc>
        <w:tc>
          <w:tcPr>
            <w:tcW w:w="4207" w:type="dxa"/>
            <w:shd w:val="clear" w:color="auto" w:fill="auto"/>
            <w:noWrap/>
            <w:vAlign w:val="bottom"/>
            <w:hideMark/>
          </w:tcPr>
          <w:p w14:paraId="36AFEC3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42F64A26" w14:textId="77777777" w:rsidTr="00F74221">
        <w:trPr>
          <w:trHeight w:val="1456"/>
        </w:trPr>
        <w:tc>
          <w:tcPr>
            <w:tcW w:w="1754" w:type="dxa"/>
            <w:shd w:val="clear" w:color="auto" w:fill="auto"/>
            <w:noWrap/>
            <w:vAlign w:val="bottom"/>
            <w:hideMark/>
          </w:tcPr>
          <w:p w14:paraId="0A3FC5C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Methionine</w:t>
            </w:r>
          </w:p>
        </w:tc>
        <w:tc>
          <w:tcPr>
            <w:tcW w:w="720" w:type="dxa"/>
            <w:shd w:val="clear" w:color="auto" w:fill="auto"/>
            <w:noWrap/>
            <w:vAlign w:val="bottom"/>
            <w:hideMark/>
          </w:tcPr>
          <w:p w14:paraId="4B93B8FD"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0.026</w:t>
            </w:r>
          </w:p>
        </w:tc>
        <w:tc>
          <w:tcPr>
            <w:tcW w:w="2190" w:type="dxa"/>
            <w:shd w:val="clear" w:color="auto" w:fill="auto"/>
            <w:noWrap/>
            <w:vAlign w:val="bottom"/>
            <w:hideMark/>
          </w:tcPr>
          <w:p w14:paraId="7D2C9D3F"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339963D6"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1E97DC9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Betaine Metabolism, Glycine and Serine Metabolism, Methionine Metabolism, Spermidine and Spermine Biosynthesis, Transcription/Translation</w:t>
            </w:r>
          </w:p>
        </w:tc>
      </w:tr>
      <w:tr w:rsidR="00F74221" w:rsidRPr="00B93038" w14:paraId="6DEBB4DA" w14:textId="77777777" w:rsidTr="00F74221">
        <w:trPr>
          <w:trHeight w:val="1456"/>
        </w:trPr>
        <w:tc>
          <w:tcPr>
            <w:tcW w:w="1754" w:type="dxa"/>
            <w:shd w:val="clear" w:color="auto" w:fill="auto"/>
            <w:noWrap/>
            <w:vAlign w:val="bottom"/>
            <w:hideMark/>
          </w:tcPr>
          <w:p w14:paraId="7D875D9B"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Pentadecanoic acid</w:t>
            </w:r>
          </w:p>
        </w:tc>
        <w:tc>
          <w:tcPr>
            <w:tcW w:w="720" w:type="dxa"/>
            <w:shd w:val="clear" w:color="auto" w:fill="auto"/>
            <w:noWrap/>
            <w:vAlign w:val="bottom"/>
            <w:hideMark/>
          </w:tcPr>
          <w:p w14:paraId="4D1F004A"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0.026</w:t>
            </w:r>
          </w:p>
        </w:tc>
        <w:tc>
          <w:tcPr>
            <w:tcW w:w="2190" w:type="dxa"/>
            <w:shd w:val="clear" w:color="auto" w:fill="auto"/>
            <w:noWrap/>
            <w:vAlign w:val="bottom"/>
            <w:hideMark/>
          </w:tcPr>
          <w:p w14:paraId="395AEFD3"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Fatty Acids and Conjugates</w:t>
            </w:r>
          </w:p>
        </w:tc>
        <w:tc>
          <w:tcPr>
            <w:tcW w:w="2114" w:type="dxa"/>
            <w:shd w:val="clear" w:color="auto" w:fill="auto"/>
            <w:noWrap/>
            <w:vAlign w:val="bottom"/>
            <w:hideMark/>
          </w:tcPr>
          <w:p w14:paraId="70AF3C6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Straight Chain Fatty Acids</w:t>
            </w:r>
          </w:p>
        </w:tc>
        <w:tc>
          <w:tcPr>
            <w:tcW w:w="4207" w:type="dxa"/>
            <w:shd w:val="clear" w:color="auto" w:fill="auto"/>
            <w:noWrap/>
            <w:vAlign w:val="bottom"/>
            <w:hideMark/>
          </w:tcPr>
          <w:p w14:paraId="0DAE2C71"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No HMDB Pathway Information</w:t>
            </w:r>
          </w:p>
        </w:tc>
      </w:tr>
      <w:tr w:rsidR="00F74221" w:rsidRPr="00B93038" w14:paraId="0EEDE176" w14:textId="77777777" w:rsidTr="00F74221">
        <w:trPr>
          <w:trHeight w:val="1456"/>
        </w:trPr>
        <w:tc>
          <w:tcPr>
            <w:tcW w:w="1754" w:type="dxa"/>
            <w:shd w:val="clear" w:color="auto" w:fill="auto"/>
            <w:noWrap/>
            <w:vAlign w:val="bottom"/>
            <w:hideMark/>
          </w:tcPr>
          <w:p w14:paraId="06860C2E"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lastRenderedPageBreak/>
              <w:t>Proline</w:t>
            </w:r>
          </w:p>
        </w:tc>
        <w:tc>
          <w:tcPr>
            <w:tcW w:w="720" w:type="dxa"/>
            <w:shd w:val="clear" w:color="auto" w:fill="auto"/>
            <w:noWrap/>
            <w:vAlign w:val="bottom"/>
            <w:hideMark/>
          </w:tcPr>
          <w:p w14:paraId="5F8DF349"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0.026</w:t>
            </w:r>
          </w:p>
        </w:tc>
        <w:tc>
          <w:tcPr>
            <w:tcW w:w="2190" w:type="dxa"/>
            <w:shd w:val="clear" w:color="auto" w:fill="auto"/>
            <w:noWrap/>
            <w:vAlign w:val="bottom"/>
            <w:hideMark/>
          </w:tcPr>
          <w:p w14:paraId="63BB28A9"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Amino Acids and Derivatives</w:t>
            </w:r>
          </w:p>
        </w:tc>
        <w:tc>
          <w:tcPr>
            <w:tcW w:w="2114" w:type="dxa"/>
            <w:shd w:val="clear" w:color="auto" w:fill="auto"/>
            <w:noWrap/>
            <w:vAlign w:val="bottom"/>
            <w:hideMark/>
          </w:tcPr>
          <w:p w14:paraId="1E13BFE0"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Alpha Amino Acids and Derivatives</w:t>
            </w:r>
          </w:p>
        </w:tc>
        <w:tc>
          <w:tcPr>
            <w:tcW w:w="4207" w:type="dxa"/>
            <w:shd w:val="clear" w:color="auto" w:fill="auto"/>
            <w:noWrap/>
            <w:vAlign w:val="bottom"/>
            <w:hideMark/>
          </w:tcPr>
          <w:p w14:paraId="76B4BE1A"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Arginine and Proline Metabolism, Transcription/Translation</w:t>
            </w:r>
          </w:p>
        </w:tc>
      </w:tr>
      <w:tr w:rsidR="00F74221" w:rsidRPr="00B93038" w14:paraId="0B24195C" w14:textId="77777777" w:rsidTr="00F74221">
        <w:trPr>
          <w:trHeight w:val="1456"/>
        </w:trPr>
        <w:tc>
          <w:tcPr>
            <w:tcW w:w="1754" w:type="dxa"/>
            <w:shd w:val="clear" w:color="auto" w:fill="auto"/>
            <w:noWrap/>
            <w:vAlign w:val="bottom"/>
            <w:hideMark/>
          </w:tcPr>
          <w:p w14:paraId="56EF22A4"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Pyroglutamate</w:t>
            </w:r>
          </w:p>
        </w:tc>
        <w:tc>
          <w:tcPr>
            <w:tcW w:w="720" w:type="dxa"/>
            <w:shd w:val="clear" w:color="auto" w:fill="auto"/>
            <w:noWrap/>
            <w:vAlign w:val="bottom"/>
            <w:hideMark/>
          </w:tcPr>
          <w:p w14:paraId="2F10BEF4" w14:textId="77777777" w:rsidR="00F74221" w:rsidRPr="00B93038" w:rsidRDefault="00F74221" w:rsidP="00F74221">
            <w:pPr>
              <w:jc w:val="right"/>
              <w:rPr>
                <w:rFonts w:ascii="Calibri" w:eastAsia="Times New Roman" w:hAnsi="Calibri"/>
                <w:color w:val="000000"/>
                <w:sz w:val="18"/>
                <w:szCs w:val="18"/>
              </w:rPr>
            </w:pPr>
            <w:r w:rsidRPr="00B93038">
              <w:rPr>
                <w:rFonts w:ascii="Calibri" w:eastAsia="Times New Roman" w:hAnsi="Calibri"/>
                <w:color w:val="000000"/>
                <w:sz w:val="18"/>
                <w:szCs w:val="18"/>
              </w:rPr>
              <w:t>0.026</w:t>
            </w:r>
          </w:p>
        </w:tc>
        <w:tc>
          <w:tcPr>
            <w:tcW w:w="2190" w:type="dxa"/>
            <w:shd w:val="clear" w:color="auto" w:fill="auto"/>
            <w:noWrap/>
            <w:vAlign w:val="bottom"/>
            <w:hideMark/>
          </w:tcPr>
          <w:p w14:paraId="307A5428"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Pyrrolidines</w:t>
            </w:r>
          </w:p>
        </w:tc>
        <w:tc>
          <w:tcPr>
            <w:tcW w:w="2114" w:type="dxa"/>
            <w:shd w:val="clear" w:color="auto" w:fill="auto"/>
            <w:noWrap/>
            <w:vAlign w:val="bottom"/>
            <w:hideMark/>
          </w:tcPr>
          <w:p w14:paraId="5FFB613D"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Pyrrolidine Carboxylic Acids and Derivatives</w:t>
            </w:r>
          </w:p>
        </w:tc>
        <w:tc>
          <w:tcPr>
            <w:tcW w:w="4207" w:type="dxa"/>
            <w:shd w:val="clear" w:color="auto" w:fill="auto"/>
            <w:noWrap/>
            <w:vAlign w:val="bottom"/>
            <w:hideMark/>
          </w:tcPr>
          <w:p w14:paraId="49CE51C7" w14:textId="77777777" w:rsidR="00F74221" w:rsidRPr="00B93038" w:rsidRDefault="00F74221" w:rsidP="00F74221">
            <w:pPr>
              <w:rPr>
                <w:rFonts w:ascii="Calibri" w:eastAsia="Times New Roman" w:hAnsi="Calibri"/>
                <w:color w:val="000000"/>
                <w:sz w:val="18"/>
                <w:szCs w:val="18"/>
              </w:rPr>
            </w:pPr>
            <w:r w:rsidRPr="00B93038">
              <w:rPr>
                <w:rFonts w:ascii="Calibri" w:eastAsia="Times New Roman" w:hAnsi="Calibri"/>
                <w:color w:val="000000"/>
                <w:sz w:val="18"/>
                <w:szCs w:val="18"/>
              </w:rPr>
              <w:t>Glutathione Metabolism</w:t>
            </w:r>
          </w:p>
        </w:tc>
      </w:tr>
    </w:tbl>
    <w:p w14:paraId="02ED9EA4" w14:textId="77777777" w:rsidR="00F74221" w:rsidRDefault="00F74221" w:rsidP="00F74221"/>
    <w:p w14:paraId="70EBA03D" w14:textId="6D1E5976" w:rsidR="00F74221" w:rsidRDefault="00F74221" w:rsidP="00F74221">
      <w:pPr>
        <w:pStyle w:val="Caption"/>
        <w:keepNext/>
        <w:rPr>
          <w:b w:val="0"/>
          <w:color w:val="auto"/>
          <w:sz w:val="20"/>
          <w:szCs w:val="20"/>
        </w:rPr>
      </w:pPr>
      <w:r w:rsidRPr="00F74221">
        <w:rPr>
          <w:b w:val="0"/>
          <w:color w:val="auto"/>
          <w:sz w:val="20"/>
          <w:szCs w:val="20"/>
        </w:rPr>
        <w:t>TableS3. Metabolites classification and pathways from HMDB and rank score of metabolites in Figure 7B</w:t>
      </w:r>
    </w:p>
    <w:p w14:paraId="1B4F9E8D" w14:textId="77777777" w:rsidR="001246B6" w:rsidRDefault="001246B6" w:rsidP="001246B6"/>
    <w:p w14:paraId="588256DF" w14:textId="1B4B8613" w:rsidR="001246B6" w:rsidRDefault="001246B6">
      <w:r>
        <w:br w:type="page"/>
      </w:r>
    </w:p>
    <w:tbl>
      <w:tblPr>
        <w:tblStyle w:val="TableGrid"/>
        <w:tblW w:w="0" w:type="auto"/>
        <w:tblLook w:val="04A0" w:firstRow="1" w:lastRow="0" w:firstColumn="1" w:lastColumn="0" w:noHBand="0" w:noVBand="1"/>
      </w:tblPr>
      <w:tblGrid>
        <w:gridCol w:w="2754"/>
        <w:gridCol w:w="2754"/>
        <w:gridCol w:w="2754"/>
        <w:gridCol w:w="2754"/>
      </w:tblGrid>
      <w:tr w:rsidR="001246B6" w14:paraId="7E8B7FEF" w14:textId="77777777" w:rsidTr="00801ED5">
        <w:tc>
          <w:tcPr>
            <w:tcW w:w="2754" w:type="dxa"/>
          </w:tcPr>
          <w:p w14:paraId="6C330556" w14:textId="77777777" w:rsidR="001246B6" w:rsidRPr="00384C09" w:rsidRDefault="001246B6" w:rsidP="00801ED5">
            <w:pPr>
              <w:spacing w:after="120"/>
              <w:jc w:val="center"/>
              <w:rPr>
                <w:b/>
              </w:rPr>
            </w:pPr>
            <w:r w:rsidRPr="00384C09">
              <w:rPr>
                <w:b/>
              </w:rPr>
              <w:lastRenderedPageBreak/>
              <w:t>Drug</w:t>
            </w:r>
          </w:p>
        </w:tc>
        <w:tc>
          <w:tcPr>
            <w:tcW w:w="2754" w:type="dxa"/>
          </w:tcPr>
          <w:p w14:paraId="7C609293" w14:textId="77777777" w:rsidR="001246B6" w:rsidRPr="00384C09" w:rsidRDefault="001246B6" w:rsidP="00801ED5">
            <w:pPr>
              <w:spacing w:after="120"/>
              <w:jc w:val="center"/>
              <w:rPr>
                <w:b/>
              </w:rPr>
            </w:pPr>
            <w:r w:rsidRPr="00384C09">
              <w:rPr>
                <w:b/>
              </w:rPr>
              <w:t>Route</w:t>
            </w:r>
          </w:p>
        </w:tc>
        <w:tc>
          <w:tcPr>
            <w:tcW w:w="2754" w:type="dxa"/>
          </w:tcPr>
          <w:p w14:paraId="1FE4059E" w14:textId="77777777" w:rsidR="001246B6" w:rsidRPr="00384C09" w:rsidRDefault="001246B6" w:rsidP="00801ED5">
            <w:pPr>
              <w:spacing w:after="120"/>
              <w:jc w:val="center"/>
              <w:rPr>
                <w:b/>
              </w:rPr>
            </w:pPr>
            <w:r w:rsidRPr="00384C09">
              <w:rPr>
                <w:b/>
              </w:rPr>
              <w:t>Dosage</w:t>
            </w:r>
          </w:p>
        </w:tc>
        <w:tc>
          <w:tcPr>
            <w:tcW w:w="2754" w:type="dxa"/>
          </w:tcPr>
          <w:p w14:paraId="09B84DC0" w14:textId="77777777" w:rsidR="001246B6" w:rsidRPr="00384C09" w:rsidRDefault="001246B6" w:rsidP="00801ED5">
            <w:pPr>
              <w:spacing w:after="120"/>
              <w:jc w:val="center"/>
              <w:rPr>
                <w:b/>
              </w:rPr>
            </w:pPr>
            <w:r w:rsidRPr="00384C09">
              <w:rPr>
                <w:b/>
              </w:rPr>
              <w:t>Days</w:t>
            </w:r>
          </w:p>
        </w:tc>
      </w:tr>
      <w:tr w:rsidR="001246B6" w14:paraId="5111E043" w14:textId="77777777" w:rsidTr="00801ED5">
        <w:tc>
          <w:tcPr>
            <w:tcW w:w="2754" w:type="dxa"/>
          </w:tcPr>
          <w:p w14:paraId="48B7F513" w14:textId="77777777" w:rsidR="001246B6" w:rsidRPr="00BB2C0D" w:rsidRDefault="001246B6" w:rsidP="00801ED5">
            <w:pPr>
              <w:spacing w:after="120"/>
              <w:jc w:val="center"/>
            </w:pPr>
            <w:r w:rsidRPr="00BB2C0D">
              <w:t>Intrathecal Cytarabine (IT ARAC)</w:t>
            </w:r>
          </w:p>
        </w:tc>
        <w:tc>
          <w:tcPr>
            <w:tcW w:w="2754" w:type="dxa"/>
          </w:tcPr>
          <w:p w14:paraId="5441C07A" w14:textId="77777777" w:rsidR="001246B6" w:rsidRPr="00BB2C0D" w:rsidRDefault="001246B6" w:rsidP="00801ED5">
            <w:pPr>
              <w:spacing w:after="120"/>
              <w:jc w:val="center"/>
            </w:pPr>
            <w:r w:rsidRPr="00BB2C0D">
              <w:t>IT</w:t>
            </w:r>
          </w:p>
        </w:tc>
        <w:tc>
          <w:tcPr>
            <w:tcW w:w="2754" w:type="dxa"/>
          </w:tcPr>
          <w:p w14:paraId="7981FBB5" w14:textId="77777777" w:rsidR="001246B6" w:rsidRPr="00BB2C0D" w:rsidRDefault="001246B6" w:rsidP="00801ED5">
            <w:pPr>
              <w:spacing w:after="120"/>
              <w:jc w:val="center"/>
            </w:pPr>
            <w:r w:rsidRPr="00BB2C0D">
              <w:t>Age (yrs)    Dose</w:t>
            </w:r>
          </w:p>
          <w:p w14:paraId="0AA24478" w14:textId="77777777" w:rsidR="001246B6" w:rsidRPr="00BB2C0D" w:rsidRDefault="001246B6" w:rsidP="00801ED5">
            <w:pPr>
              <w:spacing w:after="120"/>
              <w:jc w:val="center"/>
            </w:pPr>
            <w:r w:rsidRPr="00BB2C0D">
              <w:t xml:space="preserve"> 1-1.99          30 mg</w:t>
            </w:r>
          </w:p>
          <w:p w14:paraId="0E2970DC" w14:textId="77777777" w:rsidR="001246B6" w:rsidRPr="00BB2C0D" w:rsidRDefault="001246B6" w:rsidP="00801ED5">
            <w:pPr>
              <w:spacing w:after="120"/>
              <w:jc w:val="center"/>
            </w:pPr>
            <w:r w:rsidRPr="00BB2C0D">
              <w:t>2-2.99          50 mg</w:t>
            </w:r>
          </w:p>
          <w:p w14:paraId="66DB636A" w14:textId="77777777" w:rsidR="001246B6" w:rsidRPr="00BB2C0D" w:rsidRDefault="001246B6" w:rsidP="00801ED5">
            <w:pPr>
              <w:spacing w:after="120"/>
              <w:jc w:val="center"/>
            </w:pPr>
            <w:r w:rsidRPr="00BB2C0D">
              <w:t>&gt;= 3            70 mg</w:t>
            </w:r>
          </w:p>
        </w:tc>
        <w:tc>
          <w:tcPr>
            <w:tcW w:w="2754" w:type="dxa"/>
          </w:tcPr>
          <w:p w14:paraId="0981BBE4" w14:textId="77777777" w:rsidR="001246B6" w:rsidRPr="00BB2C0D" w:rsidRDefault="001246B6" w:rsidP="00801ED5">
            <w:pPr>
              <w:spacing w:after="120"/>
              <w:jc w:val="center"/>
            </w:pPr>
            <w:r w:rsidRPr="00BB2C0D">
              <w:t>Given at time of diagnostic lumbar puncture OR Day1</w:t>
            </w:r>
          </w:p>
        </w:tc>
      </w:tr>
      <w:tr w:rsidR="001246B6" w14:paraId="63B06D8B" w14:textId="77777777" w:rsidTr="00801ED5">
        <w:tc>
          <w:tcPr>
            <w:tcW w:w="2754" w:type="dxa"/>
          </w:tcPr>
          <w:p w14:paraId="35D53A4A" w14:textId="77777777" w:rsidR="001246B6" w:rsidRPr="00BB2C0D" w:rsidRDefault="001246B6" w:rsidP="00801ED5">
            <w:pPr>
              <w:spacing w:after="120"/>
              <w:jc w:val="center"/>
            </w:pPr>
            <w:r w:rsidRPr="00BB2C0D">
              <w:t>Vincristine (VCR)</w:t>
            </w:r>
          </w:p>
        </w:tc>
        <w:tc>
          <w:tcPr>
            <w:tcW w:w="2754" w:type="dxa"/>
          </w:tcPr>
          <w:p w14:paraId="5029FB74" w14:textId="77777777" w:rsidR="001246B6" w:rsidRPr="00BB2C0D" w:rsidRDefault="001246B6" w:rsidP="00801ED5">
            <w:pPr>
              <w:spacing w:after="120"/>
              <w:jc w:val="center"/>
            </w:pPr>
            <w:r w:rsidRPr="00BB2C0D">
              <w:t>IV push over 1 minute</w:t>
            </w:r>
          </w:p>
        </w:tc>
        <w:tc>
          <w:tcPr>
            <w:tcW w:w="2754" w:type="dxa"/>
          </w:tcPr>
          <w:p w14:paraId="75A0716C" w14:textId="77777777" w:rsidR="001246B6" w:rsidRPr="00BB2C0D" w:rsidRDefault="001246B6" w:rsidP="00801ED5">
            <w:pPr>
              <w:spacing w:after="120"/>
              <w:jc w:val="center"/>
            </w:pPr>
            <w:r w:rsidRPr="00BB2C0D">
              <w:t>1.5 mg/m</w:t>
            </w:r>
            <w:r w:rsidRPr="00BB2C0D">
              <w:rPr>
                <w:vertAlign w:val="superscript"/>
              </w:rPr>
              <w:t>2</w:t>
            </w:r>
            <w:r w:rsidRPr="00BB2C0D">
              <w:t>/dose</w:t>
            </w:r>
          </w:p>
        </w:tc>
        <w:tc>
          <w:tcPr>
            <w:tcW w:w="2754" w:type="dxa"/>
          </w:tcPr>
          <w:p w14:paraId="272C25BC" w14:textId="77777777" w:rsidR="001246B6" w:rsidRPr="00BB2C0D" w:rsidRDefault="001246B6" w:rsidP="00801ED5">
            <w:pPr>
              <w:spacing w:after="120"/>
              <w:jc w:val="center"/>
            </w:pPr>
            <w:r w:rsidRPr="00BB2C0D">
              <w:t>Days 1, 8, 15, 22</w:t>
            </w:r>
          </w:p>
        </w:tc>
      </w:tr>
      <w:tr w:rsidR="001246B6" w14:paraId="461B0367" w14:textId="77777777" w:rsidTr="00801ED5">
        <w:tc>
          <w:tcPr>
            <w:tcW w:w="2754" w:type="dxa"/>
          </w:tcPr>
          <w:p w14:paraId="02675BF2" w14:textId="77777777" w:rsidR="001246B6" w:rsidRPr="00BB2C0D" w:rsidRDefault="001246B6" w:rsidP="00801ED5">
            <w:pPr>
              <w:spacing w:after="120"/>
              <w:jc w:val="center"/>
            </w:pPr>
            <w:r w:rsidRPr="00BB2C0D">
              <w:t>Dexamethasone (DEX)</w:t>
            </w:r>
          </w:p>
        </w:tc>
        <w:tc>
          <w:tcPr>
            <w:tcW w:w="2754" w:type="dxa"/>
          </w:tcPr>
          <w:p w14:paraId="523EFC59" w14:textId="77777777" w:rsidR="001246B6" w:rsidRPr="00BB2C0D" w:rsidRDefault="001246B6" w:rsidP="00801ED5">
            <w:pPr>
              <w:spacing w:after="120"/>
              <w:jc w:val="center"/>
            </w:pPr>
            <w:r w:rsidRPr="00BB2C0D">
              <w:t>PO</w:t>
            </w:r>
          </w:p>
          <w:p w14:paraId="5563CD55" w14:textId="77777777" w:rsidR="001246B6" w:rsidRPr="00BB2C0D" w:rsidRDefault="001246B6" w:rsidP="00801ED5">
            <w:pPr>
              <w:spacing w:after="120"/>
              <w:jc w:val="center"/>
            </w:pPr>
            <w:r w:rsidRPr="00BB2C0D">
              <w:t>(may give IV)</w:t>
            </w:r>
          </w:p>
        </w:tc>
        <w:tc>
          <w:tcPr>
            <w:tcW w:w="2754" w:type="dxa"/>
          </w:tcPr>
          <w:p w14:paraId="70C90F0A" w14:textId="77777777" w:rsidR="001246B6" w:rsidRPr="00BB2C0D" w:rsidRDefault="001246B6" w:rsidP="00801ED5">
            <w:pPr>
              <w:spacing w:after="120"/>
              <w:jc w:val="center"/>
            </w:pPr>
            <w:r w:rsidRPr="00BB2C0D">
              <w:t>3 mg/m</w:t>
            </w:r>
            <w:r w:rsidRPr="00BB2C0D">
              <w:rPr>
                <w:vertAlign w:val="superscript"/>
              </w:rPr>
              <w:t>2</w:t>
            </w:r>
            <w:r w:rsidRPr="00BB2C0D">
              <w:t>/dose BID</w:t>
            </w:r>
          </w:p>
        </w:tc>
        <w:tc>
          <w:tcPr>
            <w:tcW w:w="2754" w:type="dxa"/>
          </w:tcPr>
          <w:p w14:paraId="6C52F8AD" w14:textId="77777777" w:rsidR="001246B6" w:rsidRPr="00BB2C0D" w:rsidRDefault="001246B6" w:rsidP="00801ED5">
            <w:pPr>
              <w:spacing w:after="120"/>
              <w:jc w:val="center"/>
            </w:pPr>
            <w:r w:rsidRPr="00BB2C0D">
              <w:t xml:space="preserve">Days 1-28 </w:t>
            </w:r>
          </w:p>
        </w:tc>
      </w:tr>
      <w:tr w:rsidR="001246B6" w14:paraId="28EFD606" w14:textId="77777777" w:rsidTr="00801ED5">
        <w:tc>
          <w:tcPr>
            <w:tcW w:w="2754" w:type="dxa"/>
          </w:tcPr>
          <w:p w14:paraId="155E5851" w14:textId="77777777" w:rsidR="001246B6" w:rsidRPr="00BB2C0D" w:rsidRDefault="001246B6" w:rsidP="00801ED5">
            <w:pPr>
              <w:spacing w:after="120"/>
              <w:jc w:val="center"/>
            </w:pPr>
            <w:r w:rsidRPr="00BB2C0D">
              <w:t xml:space="preserve">PEG-asparaginase </w:t>
            </w:r>
          </w:p>
          <w:p w14:paraId="5F6EE35B" w14:textId="77777777" w:rsidR="001246B6" w:rsidRPr="00BB2C0D" w:rsidRDefault="001246B6" w:rsidP="00801ED5">
            <w:pPr>
              <w:spacing w:after="120"/>
              <w:jc w:val="center"/>
            </w:pPr>
            <w:r w:rsidRPr="00BB2C0D">
              <w:t>(PEG-ASP)</w:t>
            </w:r>
          </w:p>
        </w:tc>
        <w:tc>
          <w:tcPr>
            <w:tcW w:w="2754" w:type="dxa"/>
          </w:tcPr>
          <w:p w14:paraId="3C150249" w14:textId="77777777" w:rsidR="001246B6" w:rsidRPr="00BB2C0D" w:rsidRDefault="001246B6" w:rsidP="00801ED5">
            <w:pPr>
              <w:spacing w:after="120"/>
              <w:jc w:val="center"/>
            </w:pPr>
            <w:r w:rsidRPr="00BB2C0D">
              <w:t>IM</w:t>
            </w:r>
          </w:p>
        </w:tc>
        <w:tc>
          <w:tcPr>
            <w:tcW w:w="2754" w:type="dxa"/>
          </w:tcPr>
          <w:p w14:paraId="0D057766" w14:textId="77777777" w:rsidR="001246B6" w:rsidRPr="00BB2C0D" w:rsidRDefault="001246B6" w:rsidP="00801ED5">
            <w:pPr>
              <w:spacing w:after="120"/>
              <w:jc w:val="center"/>
            </w:pPr>
            <w:r w:rsidRPr="00BB2C0D">
              <w:t>2500 International units/m</w:t>
            </w:r>
            <w:r w:rsidRPr="00BB2C0D">
              <w:rPr>
                <w:vertAlign w:val="superscript"/>
              </w:rPr>
              <w:t>2</w:t>
            </w:r>
            <w:r w:rsidRPr="00BB2C0D">
              <w:t>X 1 dose</w:t>
            </w:r>
          </w:p>
        </w:tc>
        <w:tc>
          <w:tcPr>
            <w:tcW w:w="2754" w:type="dxa"/>
          </w:tcPr>
          <w:p w14:paraId="25C24578" w14:textId="77777777" w:rsidR="001246B6" w:rsidRPr="00BB2C0D" w:rsidRDefault="001246B6" w:rsidP="00801ED5">
            <w:pPr>
              <w:spacing w:after="120"/>
              <w:jc w:val="center"/>
            </w:pPr>
            <w:r w:rsidRPr="00BB2C0D">
              <w:t>Day 4 or 5 or 6</w:t>
            </w:r>
          </w:p>
        </w:tc>
      </w:tr>
      <w:tr w:rsidR="001246B6" w14:paraId="6F0570E8" w14:textId="77777777" w:rsidTr="00801ED5">
        <w:tc>
          <w:tcPr>
            <w:tcW w:w="2754" w:type="dxa"/>
          </w:tcPr>
          <w:p w14:paraId="13F27E52" w14:textId="77777777" w:rsidR="001246B6" w:rsidRPr="00BB2C0D" w:rsidRDefault="001246B6" w:rsidP="00801ED5">
            <w:pPr>
              <w:spacing w:after="120"/>
              <w:jc w:val="center"/>
            </w:pPr>
            <w:r w:rsidRPr="00BB2C0D">
              <w:t xml:space="preserve">Intrathecal Methotrexate </w:t>
            </w:r>
          </w:p>
          <w:p w14:paraId="58E4D6F8" w14:textId="77777777" w:rsidR="001246B6" w:rsidRPr="00BB2C0D" w:rsidRDefault="001246B6" w:rsidP="00801ED5">
            <w:pPr>
              <w:spacing w:after="120"/>
              <w:jc w:val="center"/>
            </w:pPr>
            <w:r w:rsidRPr="00BB2C0D">
              <w:t>(IT MTX)</w:t>
            </w:r>
          </w:p>
        </w:tc>
        <w:tc>
          <w:tcPr>
            <w:tcW w:w="2754" w:type="dxa"/>
          </w:tcPr>
          <w:p w14:paraId="5E17D75C" w14:textId="77777777" w:rsidR="001246B6" w:rsidRPr="00BB2C0D" w:rsidRDefault="001246B6" w:rsidP="00801ED5">
            <w:pPr>
              <w:spacing w:after="120"/>
              <w:jc w:val="center"/>
            </w:pPr>
            <w:r w:rsidRPr="00BB2C0D">
              <w:t>IT</w:t>
            </w:r>
          </w:p>
        </w:tc>
        <w:tc>
          <w:tcPr>
            <w:tcW w:w="2754" w:type="dxa"/>
          </w:tcPr>
          <w:p w14:paraId="53ADDA82" w14:textId="77777777" w:rsidR="001246B6" w:rsidRPr="00BB2C0D" w:rsidRDefault="001246B6" w:rsidP="00801ED5">
            <w:pPr>
              <w:spacing w:after="120"/>
              <w:jc w:val="center"/>
            </w:pPr>
            <w:r w:rsidRPr="00BB2C0D">
              <w:t>Age (yrs)    Dose</w:t>
            </w:r>
          </w:p>
          <w:p w14:paraId="4FA49141" w14:textId="77777777" w:rsidR="001246B6" w:rsidRPr="00BB2C0D" w:rsidRDefault="001246B6" w:rsidP="00801ED5">
            <w:pPr>
              <w:spacing w:after="120"/>
              <w:jc w:val="center"/>
            </w:pPr>
            <w:r w:rsidRPr="00BB2C0D">
              <w:t xml:space="preserve"> 1-1.99          8 mg</w:t>
            </w:r>
          </w:p>
          <w:p w14:paraId="77655742" w14:textId="77777777" w:rsidR="001246B6" w:rsidRPr="00BB2C0D" w:rsidRDefault="001246B6" w:rsidP="00801ED5">
            <w:pPr>
              <w:spacing w:after="120"/>
              <w:jc w:val="center"/>
            </w:pPr>
            <w:r w:rsidRPr="00BB2C0D">
              <w:t>2-2.99          10 mg</w:t>
            </w:r>
          </w:p>
          <w:p w14:paraId="05D1675B" w14:textId="77777777" w:rsidR="001246B6" w:rsidRPr="00BB2C0D" w:rsidRDefault="001246B6" w:rsidP="00801ED5">
            <w:pPr>
              <w:spacing w:after="120"/>
              <w:jc w:val="center"/>
            </w:pPr>
            <w:r w:rsidRPr="00BB2C0D">
              <w:t>3-8.99          12 mg</w:t>
            </w:r>
          </w:p>
          <w:p w14:paraId="4D76C295" w14:textId="77777777" w:rsidR="001246B6" w:rsidRPr="00BB2C0D" w:rsidRDefault="001246B6" w:rsidP="00801ED5">
            <w:pPr>
              <w:spacing w:after="120"/>
              <w:jc w:val="center"/>
            </w:pPr>
            <w:r w:rsidRPr="00BB2C0D">
              <w:t>&gt;=9           15mg</w:t>
            </w:r>
          </w:p>
        </w:tc>
        <w:tc>
          <w:tcPr>
            <w:tcW w:w="2754" w:type="dxa"/>
          </w:tcPr>
          <w:p w14:paraId="6013B4A1" w14:textId="77777777" w:rsidR="001246B6" w:rsidRPr="00BB2C0D" w:rsidRDefault="001246B6" w:rsidP="00801ED5">
            <w:pPr>
              <w:spacing w:after="120"/>
              <w:jc w:val="center"/>
            </w:pPr>
            <w:r w:rsidRPr="00BB2C0D">
              <w:t>Days 8,  29</w:t>
            </w:r>
          </w:p>
        </w:tc>
      </w:tr>
    </w:tbl>
    <w:p w14:paraId="3EC96E1D" w14:textId="0378E10B" w:rsidR="001246B6" w:rsidRPr="005B4D41" w:rsidRDefault="0087315B" w:rsidP="001246B6">
      <w:pPr>
        <w:spacing w:after="120" w:line="240" w:lineRule="auto"/>
      </w:pPr>
      <w:r>
        <w:rPr>
          <w:b/>
        </w:rPr>
        <w:t>Table S12</w:t>
      </w:r>
      <w:bookmarkStart w:id="0" w:name="_GoBack"/>
      <w:bookmarkEnd w:id="0"/>
      <w:r w:rsidR="001246B6">
        <w:rPr>
          <w:b/>
        </w:rPr>
        <w:t xml:space="preserve">. Drug and Dosage schedules of induction therapy </w:t>
      </w:r>
      <w:r w:rsidR="001246B6">
        <w:t>IT (intrathecal), PO (per os, by mouth), IM (</w:t>
      </w:r>
      <w:r w:rsidR="001246B6" w:rsidRPr="005B4D41">
        <w:t>intramuscular</w:t>
      </w:r>
      <w:r w:rsidR="001246B6">
        <w:t>), IV (</w:t>
      </w:r>
      <w:r w:rsidR="001246B6" w:rsidRPr="005B4D41">
        <w:t>intravenous</w:t>
      </w:r>
      <w:r w:rsidR="001246B6">
        <w:t>), BID (twice a day).</w:t>
      </w:r>
    </w:p>
    <w:p w14:paraId="3B63514F" w14:textId="77777777" w:rsidR="001246B6" w:rsidRPr="001246B6" w:rsidRDefault="001246B6" w:rsidP="001246B6"/>
    <w:p w14:paraId="5967D9BB" w14:textId="77777777" w:rsidR="00F74221" w:rsidRPr="00F74221" w:rsidRDefault="00F74221" w:rsidP="00F74221">
      <w:pPr>
        <w:rPr>
          <w:sz w:val="20"/>
          <w:szCs w:val="20"/>
        </w:rPr>
      </w:pPr>
    </w:p>
    <w:p w14:paraId="14BFE6AD" w14:textId="77777777" w:rsidR="00F74221" w:rsidRPr="00B24C6D" w:rsidRDefault="00F74221" w:rsidP="00F74221">
      <w:pPr>
        <w:pStyle w:val="Caption"/>
        <w:keepNext/>
        <w:rPr>
          <w:color w:val="auto"/>
        </w:rPr>
      </w:pPr>
    </w:p>
    <w:p w14:paraId="39CF3D14" w14:textId="77777777" w:rsidR="00F74221" w:rsidRDefault="00F74221" w:rsidP="00DA3151">
      <w:pPr>
        <w:outlineLvl w:val="0"/>
      </w:pPr>
    </w:p>
    <w:p w14:paraId="15D32A05" w14:textId="77777777" w:rsidR="00DA3151" w:rsidRDefault="00DA3151" w:rsidP="00DA3151"/>
    <w:p w14:paraId="60FFB3A4" w14:textId="77777777" w:rsidR="00DA3151" w:rsidRDefault="00DA3151" w:rsidP="00DA3151">
      <w:r>
        <w:br w:type="page"/>
      </w:r>
    </w:p>
    <w:p w14:paraId="4C9B92C3" w14:textId="77777777" w:rsidR="00DA3151" w:rsidRPr="00DA3151" w:rsidRDefault="00DA3151" w:rsidP="0093728A">
      <w:pPr>
        <w:spacing w:after="0" w:line="480" w:lineRule="auto"/>
        <w:ind w:left="720" w:right="720"/>
        <w:jc w:val="both"/>
        <w:rPr>
          <w:b/>
        </w:rPr>
      </w:pPr>
    </w:p>
    <w:p w14:paraId="075A2A2B" w14:textId="77777777" w:rsidR="00E55820" w:rsidRDefault="00661552" w:rsidP="00661552">
      <w:pPr>
        <w:spacing w:after="0" w:line="480" w:lineRule="auto"/>
        <w:ind w:left="720" w:right="720"/>
        <w:jc w:val="both"/>
        <w:outlineLvl w:val="0"/>
        <w:rPr>
          <w:b/>
        </w:rPr>
      </w:pPr>
      <w:r>
        <w:rPr>
          <w:b/>
        </w:rPr>
        <w:t>Supplementary Figures</w:t>
      </w:r>
    </w:p>
    <w:p w14:paraId="2910799B" w14:textId="77777777" w:rsidR="007A7385" w:rsidRDefault="007A7385" w:rsidP="007A7385">
      <w:pPr>
        <w:jc w:val="center"/>
      </w:pPr>
      <w:r>
        <w:rPr>
          <w:noProof/>
        </w:rPr>
        <w:drawing>
          <wp:inline distT="0" distB="0" distL="0" distR="0" wp14:anchorId="7B2EDC20" wp14:editId="4FBFA458">
            <wp:extent cx="3734689" cy="5218176"/>
            <wp:effectExtent l="19050" t="0" r="0" b="0"/>
            <wp:docPr id="1" name="Picture 0"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cstate="print"/>
                    <a:srcRect l="8615" t="8111" r="12458" b="9237"/>
                    <a:stretch>
                      <a:fillRect/>
                    </a:stretch>
                  </pic:blipFill>
                  <pic:spPr>
                    <a:xfrm>
                      <a:off x="0" y="0"/>
                      <a:ext cx="3734689" cy="5218176"/>
                    </a:xfrm>
                    <a:prstGeom prst="rect">
                      <a:avLst/>
                    </a:prstGeom>
                  </pic:spPr>
                </pic:pic>
              </a:graphicData>
            </a:graphic>
          </wp:inline>
        </w:drawing>
      </w:r>
    </w:p>
    <w:p w14:paraId="7815FBCF" w14:textId="77777777" w:rsidR="007A7385" w:rsidRDefault="007A7385" w:rsidP="007A7385">
      <w:pPr>
        <w:jc w:val="center"/>
      </w:pPr>
    </w:p>
    <w:p w14:paraId="7E6A1F7E" w14:textId="77777777" w:rsidR="007A7385" w:rsidRDefault="007A7385" w:rsidP="007A7385">
      <w:pPr>
        <w:spacing w:after="0" w:line="240" w:lineRule="auto"/>
        <w:rPr>
          <w:b/>
        </w:rPr>
      </w:pPr>
    </w:p>
    <w:p w14:paraId="4847292C" w14:textId="77777777" w:rsidR="007A7385" w:rsidRDefault="007A7385" w:rsidP="007A7385">
      <w:pPr>
        <w:spacing w:after="120" w:line="240" w:lineRule="auto"/>
        <w:jc w:val="both"/>
        <w:rPr>
          <w:b/>
        </w:rPr>
      </w:pPr>
      <w:r>
        <w:rPr>
          <w:b/>
        </w:rPr>
        <w:t>Figure S1. Targeted metabolic analysis of patient bone marrow and standard culture medium.</w:t>
      </w:r>
    </w:p>
    <w:p w14:paraId="6D035553" w14:textId="77777777" w:rsidR="007A7385" w:rsidRDefault="007A7385" w:rsidP="007A7385">
      <w:pPr>
        <w:spacing w:after="0" w:line="240" w:lineRule="auto"/>
        <w:jc w:val="both"/>
        <w:rPr>
          <w:b/>
        </w:rPr>
      </w:pPr>
      <w:r>
        <w:t>Shown are the fold differences (mean ± SEM)</w:t>
      </w:r>
      <w:r>
        <w:rPr>
          <w:rStyle w:val="Emphasis"/>
          <w:bCs/>
          <w:i w:val="0"/>
          <w:color w:val="000000"/>
          <w:shd w:val="clear" w:color="auto" w:fill="FFFFFF"/>
        </w:rPr>
        <w:t xml:space="preserve"> in</w:t>
      </w:r>
      <w:r>
        <w:rPr>
          <w:color w:val="222222"/>
          <w:shd w:val="clear" w:color="auto" w:fill="FFFFFF"/>
        </w:rPr>
        <w:t xml:space="preserve"> </w:t>
      </w:r>
      <w:r>
        <w:t xml:space="preserve">metabolite concentrations in BM (day 0, n = 10 patients) and RPMI 1640/10% FBS. </w:t>
      </w:r>
    </w:p>
    <w:p w14:paraId="33ED30E9" w14:textId="77777777" w:rsidR="007A7385" w:rsidRDefault="007A7385" w:rsidP="00661552">
      <w:pPr>
        <w:spacing w:after="0" w:line="480" w:lineRule="auto"/>
        <w:ind w:left="720" w:right="720"/>
        <w:jc w:val="both"/>
        <w:outlineLvl w:val="0"/>
        <w:rPr>
          <w:bCs/>
        </w:rPr>
      </w:pPr>
    </w:p>
    <w:p w14:paraId="2D7A39E1" w14:textId="77777777" w:rsidR="0094489E" w:rsidRDefault="00146C02" w:rsidP="00865F2D">
      <w:pPr>
        <w:jc w:val="center"/>
        <w:rPr>
          <w:sz w:val="16"/>
          <w:szCs w:val="16"/>
        </w:rPr>
      </w:pPr>
      <w:r>
        <w:rPr>
          <w:noProof/>
          <w:sz w:val="16"/>
          <w:szCs w:val="16"/>
        </w:rPr>
        <w:lastRenderedPageBreak/>
        <w:drawing>
          <wp:inline distT="0" distB="0" distL="0" distR="0" wp14:anchorId="0610B364" wp14:editId="49BEBAA0">
            <wp:extent cx="6450761" cy="7179011"/>
            <wp:effectExtent l="19050" t="0" r="7189" b="0"/>
            <wp:docPr id="2" name="Picture 2" descr="Macintosh HD:Users:yunyikang:Dropbox:NMR_Metabolomics:All paper Feb2013:Figures_corrected:SI_Figure_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unyikang:Dropbox:NMR_Metabolomics:All paper Feb2013:Figures_corrected:SI_Figure_S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127" cy="7179419"/>
                    </a:xfrm>
                    <a:prstGeom prst="rect">
                      <a:avLst/>
                    </a:prstGeom>
                    <a:noFill/>
                    <a:ln>
                      <a:noFill/>
                    </a:ln>
                  </pic:spPr>
                </pic:pic>
              </a:graphicData>
            </a:graphic>
          </wp:inline>
        </w:drawing>
      </w:r>
    </w:p>
    <w:p w14:paraId="450B4168" w14:textId="77777777" w:rsidR="0094489E" w:rsidRDefault="00146C02">
      <w:pPr>
        <w:spacing w:after="120" w:line="240" w:lineRule="auto"/>
        <w:jc w:val="both"/>
        <w:rPr>
          <w:b/>
        </w:rPr>
      </w:pPr>
      <w:r>
        <w:rPr>
          <w:b/>
        </w:rPr>
        <w:t xml:space="preserve">Figure </w:t>
      </w:r>
      <w:r w:rsidR="007A7385">
        <w:rPr>
          <w:b/>
        </w:rPr>
        <w:t>S2</w:t>
      </w:r>
      <w:r>
        <w:rPr>
          <w:b/>
        </w:rPr>
        <w:t>. Heat map of correlations between metabolites in bone marrow</w:t>
      </w:r>
      <w:r>
        <w:rPr>
          <w:smallCaps/>
        </w:rPr>
        <w:t xml:space="preserve"> </w:t>
      </w:r>
      <w:r>
        <w:rPr>
          <w:b/>
        </w:rPr>
        <w:t>collected from ALL patients at diagnosis.</w:t>
      </w:r>
    </w:p>
    <w:p w14:paraId="5BD9165C" w14:textId="77777777" w:rsidR="0094489E" w:rsidRDefault="00146C02">
      <w:pPr>
        <w:spacing w:after="120" w:line="240" w:lineRule="auto"/>
        <w:jc w:val="both"/>
        <w:rPr>
          <w:shd w:val="clear" w:color="auto" w:fill="FFFFFF"/>
        </w:rPr>
      </w:pPr>
      <w:r>
        <w:t>Hierarchical clustering analysis of Pearson’s coefficients calculated from the absolute metabolite concentrations (</w:t>
      </w:r>
      <w:r>
        <w:rPr>
          <w:b/>
        </w:rPr>
        <w:t>Table S1</w:t>
      </w:r>
      <w:r>
        <w:t xml:space="preserve">) </w:t>
      </w:r>
      <w:r>
        <w:rPr>
          <w:shd w:val="clear" w:color="auto" w:fill="FFFFFF"/>
        </w:rPr>
        <w:t>in BM samples collected on day 0.</w:t>
      </w:r>
      <w:r>
        <w:t xml:space="preserve"> Only Pearson’s correlation coefficients </w:t>
      </w:r>
      <w:r>
        <w:rPr>
          <w:shd w:val="clear" w:color="auto" w:fill="FFFFFF"/>
        </w:rPr>
        <w:t>r &gt; 0.75 or r &lt; </w:t>
      </w:r>
      <w:r>
        <w:rPr>
          <w:shd w:val="clear" w:color="auto" w:fill="FFFFFF"/>
        </w:rPr>
        <w:noBreakHyphen/>
        <w:t xml:space="preserve">0.75 are shown. </w:t>
      </w:r>
      <w:r>
        <w:t>Pairs of metabolites</w:t>
      </w:r>
      <w:r>
        <w:rPr>
          <w:shd w:val="clear" w:color="auto" w:fill="FFFFFF"/>
        </w:rPr>
        <w:t xml:space="preserve"> are hierarchically classified using city-block distance and average linkage clustering methods. Individual correlation coefficients and p-values can be found in </w:t>
      </w:r>
      <w:r>
        <w:rPr>
          <w:b/>
          <w:shd w:val="clear" w:color="auto" w:fill="FFFFFF"/>
        </w:rPr>
        <w:t>Table S2</w:t>
      </w:r>
      <w:r>
        <w:rPr>
          <w:shd w:val="clear" w:color="auto" w:fill="FFFFFF"/>
        </w:rPr>
        <w:t>.</w:t>
      </w:r>
    </w:p>
    <w:p w14:paraId="323BB09F" w14:textId="77777777" w:rsidR="0094489E" w:rsidRDefault="0094489E">
      <w:pPr>
        <w:rPr>
          <w:sz w:val="16"/>
          <w:szCs w:val="16"/>
        </w:rPr>
      </w:pPr>
    </w:p>
    <w:p w14:paraId="36F39E80" w14:textId="77777777" w:rsidR="0094489E" w:rsidRDefault="0094489E">
      <w:pPr>
        <w:rPr>
          <w:sz w:val="16"/>
          <w:szCs w:val="16"/>
        </w:rPr>
      </w:pPr>
    </w:p>
    <w:p w14:paraId="3B146D11" w14:textId="77777777" w:rsidR="0094489E" w:rsidRDefault="00146C02">
      <w:pPr>
        <w:rPr>
          <w:sz w:val="16"/>
          <w:szCs w:val="16"/>
        </w:rPr>
      </w:pPr>
      <w:r>
        <w:rPr>
          <w:noProof/>
          <w:sz w:val="16"/>
          <w:szCs w:val="16"/>
        </w:rPr>
        <w:lastRenderedPageBreak/>
        <w:drawing>
          <wp:inline distT="0" distB="0" distL="0" distR="0" wp14:anchorId="350A67EA" wp14:editId="6B41430A">
            <wp:extent cx="6468745" cy="7162800"/>
            <wp:effectExtent l="0" t="0" r="0" b="0"/>
            <wp:docPr id="3" name="Picture 3" descr="Macintosh HD:Users:yunyikang:Dropbox:NMR_Metabolomics:All paper Feb2013:Figures_corrected:SI_Figure_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unyikang:Dropbox:NMR_Metabolomics:All paper Feb2013:Figures_corrected:SI_Figure_S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8745" cy="7162800"/>
                    </a:xfrm>
                    <a:prstGeom prst="rect">
                      <a:avLst/>
                    </a:prstGeom>
                    <a:noFill/>
                    <a:ln>
                      <a:noFill/>
                    </a:ln>
                  </pic:spPr>
                </pic:pic>
              </a:graphicData>
            </a:graphic>
          </wp:inline>
        </w:drawing>
      </w:r>
    </w:p>
    <w:p w14:paraId="19A8F37A" w14:textId="77777777" w:rsidR="0094489E" w:rsidRDefault="0094489E">
      <w:pPr>
        <w:rPr>
          <w:sz w:val="16"/>
          <w:szCs w:val="16"/>
        </w:rPr>
      </w:pPr>
    </w:p>
    <w:p w14:paraId="0191620C" w14:textId="77777777" w:rsidR="0094489E" w:rsidRDefault="00146C02">
      <w:pPr>
        <w:spacing w:after="120" w:line="240" w:lineRule="auto"/>
        <w:jc w:val="both"/>
        <w:rPr>
          <w:b/>
        </w:rPr>
      </w:pPr>
      <w:r>
        <w:rPr>
          <w:b/>
        </w:rPr>
        <w:t xml:space="preserve">Figure </w:t>
      </w:r>
      <w:r w:rsidR="007A7385">
        <w:rPr>
          <w:b/>
        </w:rPr>
        <w:t>S3</w:t>
      </w:r>
      <w:r>
        <w:rPr>
          <w:b/>
        </w:rPr>
        <w:t>. Heat map of correlations between metabolites in peripheral blood samples collected from ALL patients at diagnosis.</w:t>
      </w:r>
    </w:p>
    <w:p w14:paraId="416B07DA" w14:textId="77777777" w:rsidR="0094489E" w:rsidRDefault="00146C02">
      <w:pPr>
        <w:spacing w:after="0" w:line="240" w:lineRule="auto"/>
        <w:jc w:val="both"/>
        <w:rPr>
          <w:shd w:val="clear" w:color="auto" w:fill="FFFFFF"/>
        </w:rPr>
      </w:pPr>
      <w:r>
        <w:t>Hierarchical clustering analysis of Pearson’s coefficients calculated from the absolute metabolite concentrations (</w:t>
      </w:r>
      <w:r>
        <w:rPr>
          <w:b/>
        </w:rPr>
        <w:t>Table S1</w:t>
      </w:r>
      <w:r>
        <w:t xml:space="preserve">) </w:t>
      </w:r>
      <w:r>
        <w:rPr>
          <w:shd w:val="clear" w:color="auto" w:fill="FFFFFF"/>
        </w:rPr>
        <w:t>in PB samples collected on day 0.</w:t>
      </w:r>
      <w:r>
        <w:t xml:space="preserve"> Only Pearson’s correlation coefficients </w:t>
      </w:r>
      <w:r>
        <w:rPr>
          <w:shd w:val="clear" w:color="auto" w:fill="FFFFFF"/>
        </w:rPr>
        <w:t>r &gt; 0.75 or r &lt; </w:t>
      </w:r>
      <w:r>
        <w:rPr>
          <w:shd w:val="clear" w:color="auto" w:fill="FFFFFF"/>
        </w:rPr>
        <w:noBreakHyphen/>
        <w:t xml:space="preserve">0.75 are shown. </w:t>
      </w:r>
      <w:r>
        <w:t>Pairs of metabolites</w:t>
      </w:r>
      <w:r>
        <w:rPr>
          <w:shd w:val="clear" w:color="auto" w:fill="FFFFFF"/>
        </w:rPr>
        <w:t xml:space="preserve"> are hierarchically classified using city-block distance and average linkage clustering methods. Individual correlation coefficients and p-values can be found in </w:t>
      </w:r>
      <w:r>
        <w:rPr>
          <w:b/>
          <w:shd w:val="clear" w:color="auto" w:fill="FFFFFF"/>
        </w:rPr>
        <w:t>Table S3</w:t>
      </w:r>
      <w:r>
        <w:rPr>
          <w:shd w:val="clear" w:color="auto" w:fill="FFFFFF"/>
        </w:rPr>
        <w:t>.</w:t>
      </w:r>
    </w:p>
    <w:p w14:paraId="42191774" w14:textId="77777777" w:rsidR="0094489E" w:rsidRDefault="0094489E">
      <w:pPr>
        <w:rPr>
          <w:sz w:val="16"/>
          <w:szCs w:val="16"/>
        </w:rPr>
      </w:pPr>
    </w:p>
    <w:p w14:paraId="57A5999A" w14:textId="77777777" w:rsidR="0094489E" w:rsidRDefault="0094489E">
      <w:pPr>
        <w:rPr>
          <w:sz w:val="16"/>
          <w:szCs w:val="16"/>
        </w:rPr>
      </w:pPr>
    </w:p>
    <w:p w14:paraId="07028855" w14:textId="77777777" w:rsidR="0094489E" w:rsidRDefault="00146C02">
      <w:pPr>
        <w:rPr>
          <w:sz w:val="16"/>
          <w:szCs w:val="16"/>
        </w:rPr>
      </w:pPr>
      <w:r>
        <w:rPr>
          <w:noProof/>
          <w:sz w:val="16"/>
          <w:szCs w:val="16"/>
        </w:rPr>
        <w:lastRenderedPageBreak/>
        <w:drawing>
          <wp:inline distT="0" distB="0" distL="0" distR="0" wp14:anchorId="41B5B7F7" wp14:editId="735F56C5">
            <wp:extent cx="6451600" cy="7416800"/>
            <wp:effectExtent l="0" t="0" r="0" b="0"/>
            <wp:docPr id="4" name="Picture 4" descr="Macintosh HD:Users:yunyikang:Dropbox:NMR_Metabolomics:All paper Feb2013:Figures_corrected:SI_Figure_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unyikang:Dropbox:NMR_Metabolomics:All paper Feb2013:Figures_corrected:SI_Figure_S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1600" cy="7416800"/>
                    </a:xfrm>
                    <a:prstGeom prst="rect">
                      <a:avLst/>
                    </a:prstGeom>
                    <a:noFill/>
                    <a:ln>
                      <a:noFill/>
                    </a:ln>
                  </pic:spPr>
                </pic:pic>
              </a:graphicData>
            </a:graphic>
          </wp:inline>
        </w:drawing>
      </w:r>
    </w:p>
    <w:p w14:paraId="0734E120" w14:textId="77777777" w:rsidR="0094489E" w:rsidRDefault="00146C02">
      <w:pPr>
        <w:spacing w:after="120" w:line="240" w:lineRule="auto"/>
        <w:jc w:val="both"/>
        <w:rPr>
          <w:b/>
        </w:rPr>
      </w:pPr>
      <w:r>
        <w:rPr>
          <w:b/>
        </w:rPr>
        <w:t xml:space="preserve">Figure </w:t>
      </w:r>
      <w:r w:rsidR="007A7385">
        <w:rPr>
          <w:b/>
        </w:rPr>
        <w:t>S4</w:t>
      </w:r>
      <w:r>
        <w:rPr>
          <w:b/>
        </w:rPr>
        <w:t>. Heat map of correlations between metabolic differences in bone marrow and peripheral blood samples collected at diagnosis.</w:t>
      </w:r>
    </w:p>
    <w:p w14:paraId="12AD3D9A" w14:textId="77777777" w:rsidR="0094489E" w:rsidRDefault="00146C02">
      <w:pPr>
        <w:spacing w:after="0" w:line="240" w:lineRule="auto"/>
        <w:jc w:val="both"/>
        <w:rPr>
          <w:shd w:val="clear" w:color="auto" w:fill="FFFFFF"/>
        </w:rPr>
      </w:pPr>
      <w:r>
        <w:t>Hierarchical clustering analysis of Pearson’s coefficients calculated from the difference in</w:t>
      </w:r>
      <w:r>
        <w:rPr>
          <w:shd w:val="clear" w:color="auto" w:fill="FFFFFF"/>
        </w:rPr>
        <w:t xml:space="preserve"> absolute metabolite concentrations in BM and PB samples (B0-P0) collected on day 0.</w:t>
      </w:r>
      <w:r>
        <w:t xml:space="preserve"> Only Pearson’s correlation coefficients </w:t>
      </w:r>
      <w:r>
        <w:rPr>
          <w:shd w:val="clear" w:color="auto" w:fill="FFFFFF"/>
        </w:rPr>
        <w:t>r &gt; 0.75 or r &lt; </w:t>
      </w:r>
      <w:r>
        <w:rPr>
          <w:shd w:val="clear" w:color="auto" w:fill="FFFFFF"/>
        </w:rPr>
        <w:noBreakHyphen/>
        <w:t xml:space="preserve">0.75 are shown. </w:t>
      </w:r>
      <w:r>
        <w:t>Pairs of metabolites</w:t>
      </w:r>
      <w:r>
        <w:rPr>
          <w:shd w:val="clear" w:color="auto" w:fill="FFFFFF"/>
        </w:rPr>
        <w:t xml:space="preserve"> are hierarchically classified using city-block distance and average linkage clustering methods. Individual correlation coefficients and p-values can be found in </w:t>
      </w:r>
      <w:r>
        <w:rPr>
          <w:b/>
          <w:shd w:val="clear" w:color="auto" w:fill="FFFFFF"/>
        </w:rPr>
        <w:t>Table S4</w:t>
      </w:r>
      <w:r>
        <w:rPr>
          <w:shd w:val="clear" w:color="auto" w:fill="FFFFFF"/>
        </w:rPr>
        <w:t>.</w:t>
      </w:r>
    </w:p>
    <w:p w14:paraId="1B210089" w14:textId="77777777" w:rsidR="0094489E" w:rsidRDefault="0094489E">
      <w:pPr>
        <w:rPr>
          <w:sz w:val="16"/>
          <w:szCs w:val="16"/>
        </w:rPr>
      </w:pPr>
    </w:p>
    <w:p w14:paraId="5C1E351A" w14:textId="77777777" w:rsidR="0094489E" w:rsidRDefault="0094489E">
      <w:pPr>
        <w:rPr>
          <w:sz w:val="16"/>
          <w:szCs w:val="16"/>
        </w:rPr>
      </w:pPr>
    </w:p>
    <w:p w14:paraId="0DE7FC2B" w14:textId="77777777" w:rsidR="0094489E" w:rsidRDefault="0097537D" w:rsidP="0097537D">
      <w:pPr>
        <w:jc w:val="center"/>
        <w:rPr>
          <w:sz w:val="16"/>
          <w:szCs w:val="16"/>
        </w:rPr>
      </w:pPr>
      <w:r>
        <w:rPr>
          <w:noProof/>
          <w:sz w:val="16"/>
          <w:szCs w:val="16"/>
        </w:rPr>
        <w:lastRenderedPageBreak/>
        <w:drawing>
          <wp:inline distT="0" distB="0" distL="0" distR="0" wp14:anchorId="2B90ADD1" wp14:editId="6868F447">
            <wp:extent cx="5218176" cy="3998976"/>
            <wp:effectExtent l="19050" t="0" r="1524" b="0"/>
            <wp:docPr id="15" name="Picture 14" descr="SI_Figure_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Figure_S5.tif"/>
                    <pic:cNvPicPr/>
                  </pic:nvPicPr>
                  <pic:blipFill>
                    <a:blip r:embed="rId13"/>
                    <a:stretch>
                      <a:fillRect/>
                    </a:stretch>
                  </pic:blipFill>
                  <pic:spPr>
                    <a:xfrm>
                      <a:off x="0" y="0"/>
                      <a:ext cx="5218176" cy="3998976"/>
                    </a:xfrm>
                    <a:prstGeom prst="rect">
                      <a:avLst/>
                    </a:prstGeom>
                  </pic:spPr>
                </pic:pic>
              </a:graphicData>
            </a:graphic>
          </wp:inline>
        </w:drawing>
      </w:r>
    </w:p>
    <w:p w14:paraId="17C1A94F" w14:textId="77777777" w:rsidR="0094489E" w:rsidRDefault="0094489E">
      <w:pPr>
        <w:rPr>
          <w:sz w:val="16"/>
          <w:szCs w:val="16"/>
        </w:rPr>
      </w:pPr>
    </w:p>
    <w:p w14:paraId="7B88EB33" w14:textId="77777777" w:rsidR="0094489E" w:rsidRDefault="0094489E">
      <w:pPr>
        <w:rPr>
          <w:sz w:val="16"/>
          <w:szCs w:val="16"/>
        </w:rPr>
      </w:pPr>
    </w:p>
    <w:p w14:paraId="4EB409E0" w14:textId="77777777" w:rsidR="0094489E" w:rsidRDefault="00146C02">
      <w:pPr>
        <w:spacing w:after="120" w:line="240" w:lineRule="auto"/>
        <w:jc w:val="both"/>
        <w:rPr>
          <w:b/>
        </w:rPr>
      </w:pPr>
      <w:r>
        <w:rPr>
          <w:b/>
        </w:rPr>
        <w:t xml:space="preserve">Figure </w:t>
      </w:r>
      <w:r w:rsidR="007A7385">
        <w:rPr>
          <w:b/>
        </w:rPr>
        <w:t>S5</w:t>
      </w:r>
      <w:r>
        <w:rPr>
          <w:b/>
        </w:rPr>
        <w:t>. Multivariate analysis of MRS spectra</w:t>
      </w:r>
      <w:r>
        <w:t xml:space="preserve"> </w:t>
      </w:r>
      <w:r>
        <w:rPr>
          <w:b/>
        </w:rPr>
        <w:t>of bone marrow and peripheral blood lipid fractions collected at the end of induction therapy.</w:t>
      </w:r>
    </w:p>
    <w:p w14:paraId="6BEBA413" w14:textId="77777777" w:rsidR="0094489E" w:rsidRDefault="00146C02">
      <w:pPr>
        <w:spacing w:after="0" w:line="240" w:lineRule="auto"/>
        <w:jc w:val="both"/>
      </w:pPr>
      <w:r>
        <w:t>(</w:t>
      </w:r>
      <w:r>
        <w:rPr>
          <w:b/>
        </w:rPr>
        <w:t>A</w:t>
      </w:r>
      <w:r>
        <w:t>) mPCA did not show a separation between BM and PB collected on day 29. (</w:t>
      </w:r>
      <w:r>
        <w:rPr>
          <w:b/>
        </w:rPr>
        <w:t>B</w:t>
      </w:r>
      <w:r>
        <w:t>) Employing a supervised multivariate analysis, the multilevel partial-least squares discriminant analysis (mPLS-DA) model was built using two classes and two latent variables (LVs). The predictivity of the model was significant (Wilcoxon p ~0.01) and the sensitivity and specificity values were both 100% on cross-validated multivariate analysis DA using ROC curve analysis. (</w:t>
      </w:r>
      <w:r>
        <w:rPr>
          <w:b/>
        </w:rPr>
        <w:t>C</w:t>
      </w:r>
      <w:r>
        <w:t>) Corresponding weights plot on LV1 (22.70%) depicts the most relevant discriminatory functional groups for BM (negative weights) and PB</w:t>
      </w:r>
      <w:r>
        <w:rPr>
          <w:smallCaps/>
        </w:rPr>
        <w:t xml:space="preserve"> </w:t>
      </w:r>
      <w:r>
        <w:t xml:space="preserve">(positive weights) samples collected at day 29. Red areas in </w:t>
      </w:r>
      <w:r>
        <w:rPr>
          <w:b/>
        </w:rPr>
        <w:t>C</w:t>
      </w:r>
      <w:r>
        <w:t xml:space="preserve"> indicate significantly different regions of the MRS spectra according to a point-by-point nonparametric </w:t>
      </w:r>
      <w:r>
        <w:rPr>
          <w:shd w:val="clear" w:color="auto" w:fill="FFFFFF"/>
        </w:rPr>
        <w:t xml:space="preserve">Wilcoxon Rank Sum Test (WRST; p &lt; 0.05) analysis. </w:t>
      </w:r>
    </w:p>
    <w:p w14:paraId="4A02549A" w14:textId="77777777" w:rsidR="0094489E" w:rsidRDefault="0094489E">
      <w:pPr>
        <w:spacing w:after="0" w:line="240" w:lineRule="auto"/>
        <w:jc w:val="both"/>
        <w:rPr>
          <w:shd w:val="clear" w:color="auto" w:fill="FFFFFF"/>
        </w:rPr>
      </w:pPr>
    </w:p>
    <w:p w14:paraId="567480C5" w14:textId="77777777" w:rsidR="0094489E" w:rsidRDefault="0094489E">
      <w:pPr>
        <w:rPr>
          <w:sz w:val="16"/>
          <w:szCs w:val="16"/>
        </w:rPr>
      </w:pPr>
    </w:p>
    <w:p w14:paraId="4E7CE3D3" w14:textId="77777777" w:rsidR="0094489E" w:rsidRDefault="0094489E">
      <w:pPr>
        <w:rPr>
          <w:sz w:val="16"/>
          <w:szCs w:val="16"/>
        </w:rPr>
      </w:pPr>
    </w:p>
    <w:p w14:paraId="283D02D3" w14:textId="77777777" w:rsidR="0094489E" w:rsidRDefault="0094489E">
      <w:pPr>
        <w:rPr>
          <w:sz w:val="16"/>
          <w:szCs w:val="16"/>
        </w:rPr>
      </w:pPr>
    </w:p>
    <w:p w14:paraId="47A22514" w14:textId="77777777" w:rsidR="0094489E" w:rsidRDefault="0094489E">
      <w:pPr>
        <w:rPr>
          <w:sz w:val="16"/>
          <w:szCs w:val="16"/>
        </w:rPr>
      </w:pPr>
    </w:p>
    <w:p w14:paraId="32755499" w14:textId="77777777" w:rsidR="0094489E" w:rsidRDefault="0094489E">
      <w:pPr>
        <w:rPr>
          <w:sz w:val="16"/>
          <w:szCs w:val="16"/>
        </w:rPr>
      </w:pPr>
    </w:p>
    <w:p w14:paraId="5A3B2D60" w14:textId="77777777" w:rsidR="0094489E" w:rsidRDefault="0094489E">
      <w:pPr>
        <w:rPr>
          <w:sz w:val="16"/>
          <w:szCs w:val="16"/>
        </w:rPr>
      </w:pPr>
    </w:p>
    <w:p w14:paraId="2B4893C4" w14:textId="77777777" w:rsidR="0094489E" w:rsidRDefault="00146C02">
      <w:pPr>
        <w:rPr>
          <w:sz w:val="16"/>
          <w:szCs w:val="16"/>
        </w:rPr>
      </w:pPr>
      <w:r>
        <w:rPr>
          <w:noProof/>
          <w:sz w:val="16"/>
          <w:szCs w:val="16"/>
        </w:rPr>
        <w:lastRenderedPageBreak/>
        <w:drawing>
          <wp:inline distT="0" distB="0" distL="0" distR="0" wp14:anchorId="1D704154" wp14:editId="7686FED1">
            <wp:extent cx="6451600" cy="7154545"/>
            <wp:effectExtent l="0" t="0" r="0" b="0"/>
            <wp:docPr id="6" name="Picture 6" descr="Macintosh HD:Users:yunyikang:Dropbox:NMR_Metabolomics:All paper Feb2013:Figures_corrected:SI_Figure_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unyikang:Dropbox:NMR_Metabolomics:All paper Feb2013:Figures_corrected:SI_Figure_S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1600" cy="7154545"/>
                    </a:xfrm>
                    <a:prstGeom prst="rect">
                      <a:avLst/>
                    </a:prstGeom>
                    <a:noFill/>
                    <a:ln>
                      <a:noFill/>
                    </a:ln>
                  </pic:spPr>
                </pic:pic>
              </a:graphicData>
            </a:graphic>
          </wp:inline>
        </w:drawing>
      </w:r>
    </w:p>
    <w:p w14:paraId="1A59A284" w14:textId="77777777" w:rsidR="0094489E" w:rsidRDefault="0094489E">
      <w:pPr>
        <w:rPr>
          <w:sz w:val="16"/>
          <w:szCs w:val="16"/>
        </w:rPr>
      </w:pPr>
    </w:p>
    <w:p w14:paraId="7BBC7366" w14:textId="77777777" w:rsidR="0094489E" w:rsidRDefault="00146C02">
      <w:pPr>
        <w:spacing w:after="120" w:line="240" w:lineRule="auto"/>
        <w:jc w:val="both"/>
        <w:rPr>
          <w:b/>
        </w:rPr>
      </w:pPr>
      <w:r>
        <w:rPr>
          <w:b/>
        </w:rPr>
        <w:t xml:space="preserve">Figure </w:t>
      </w:r>
      <w:r w:rsidR="007A7385">
        <w:rPr>
          <w:b/>
        </w:rPr>
        <w:t>S6</w:t>
      </w:r>
      <w:r>
        <w:rPr>
          <w:b/>
        </w:rPr>
        <w:t>. Heat map of correlations between metabolites in the bone marrow collected at the end of induction therapy.</w:t>
      </w:r>
    </w:p>
    <w:p w14:paraId="07A3FAE8" w14:textId="77777777" w:rsidR="0094489E" w:rsidRDefault="00146C02">
      <w:pPr>
        <w:spacing w:after="0" w:line="240" w:lineRule="auto"/>
        <w:jc w:val="both"/>
        <w:rPr>
          <w:shd w:val="clear" w:color="auto" w:fill="FFFFFF"/>
        </w:rPr>
      </w:pPr>
      <w:r>
        <w:t>Hierarchical clustering analysis of Pearson’s coefficients calculated from the absolute metabolite concentrations (</w:t>
      </w:r>
      <w:r>
        <w:rPr>
          <w:b/>
        </w:rPr>
        <w:t>Table S1</w:t>
      </w:r>
      <w:r>
        <w:t xml:space="preserve">) </w:t>
      </w:r>
      <w:r>
        <w:rPr>
          <w:shd w:val="clear" w:color="auto" w:fill="FFFFFF"/>
        </w:rPr>
        <w:t>in BM samples collected on day 29.</w:t>
      </w:r>
      <w:r>
        <w:t xml:space="preserve"> Only Pearson’s correlation coefficients </w:t>
      </w:r>
      <w:r>
        <w:rPr>
          <w:shd w:val="clear" w:color="auto" w:fill="FFFFFF"/>
        </w:rPr>
        <w:t>r &gt; 0.75 or r &lt; </w:t>
      </w:r>
      <w:r>
        <w:rPr>
          <w:shd w:val="clear" w:color="auto" w:fill="FFFFFF"/>
        </w:rPr>
        <w:noBreakHyphen/>
        <w:t xml:space="preserve">0.75 are shown. </w:t>
      </w:r>
      <w:r>
        <w:t>Pairs of metabolites</w:t>
      </w:r>
      <w:r>
        <w:rPr>
          <w:shd w:val="clear" w:color="auto" w:fill="FFFFFF"/>
        </w:rPr>
        <w:t xml:space="preserve"> are hierarchically classified using city-block distance and average linkage clustering methods. Individual correlation coefficients and p-values can be found in </w:t>
      </w:r>
      <w:r>
        <w:rPr>
          <w:b/>
          <w:shd w:val="clear" w:color="auto" w:fill="FFFFFF"/>
        </w:rPr>
        <w:t>Table S5</w:t>
      </w:r>
      <w:r>
        <w:rPr>
          <w:shd w:val="clear" w:color="auto" w:fill="FFFFFF"/>
        </w:rPr>
        <w:t>.</w:t>
      </w:r>
    </w:p>
    <w:p w14:paraId="38DD4AA8" w14:textId="77777777" w:rsidR="0094489E" w:rsidRDefault="0094489E">
      <w:pPr>
        <w:rPr>
          <w:sz w:val="16"/>
          <w:szCs w:val="16"/>
        </w:rPr>
      </w:pPr>
    </w:p>
    <w:p w14:paraId="1C85E799" w14:textId="77777777" w:rsidR="0094489E" w:rsidRDefault="0094489E">
      <w:pPr>
        <w:rPr>
          <w:sz w:val="16"/>
          <w:szCs w:val="16"/>
        </w:rPr>
      </w:pPr>
    </w:p>
    <w:p w14:paraId="5812A6E2" w14:textId="77777777" w:rsidR="0094489E" w:rsidRDefault="00146C02">
      <w:pPr>
        <w:rPr>
          <w:sz w:val="16"/>
          <w:szCs w:val="16"/>
        </w:rPr>
      </w:pPr>
      <w:r>
        <w:rPr>
          <w:noProof/>
          <w:sz w:val="16"/>
          <w:szCs w:val="16"/>
        </w:rPr>
        <w:lastRenderedPageBreak/>
        <w:drawing>
          <wp:inline distT="0" distB="0" distL="0" distR="0" wp14:anchorId="33EA86D2" wp14:editId="4742F989">
            <wp:extent cx="6477000" cy="7196455"/>
            <wp:effectExtent l="0" t="0" r="0" b="0"/>
            <wp:docPr id="7" name="Picture 7" descr="Macintosh HD:Users:yunyikang:Dropbox:NMR_Metabolomics:All paper Feb2013:Figures_corrected:SI_Figure_S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unyikang:Dropbox:NMR_Metabolomics:All paper Feb2013:Figures_corrected:SI_Figure_S6.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7196455"/>
                    </a:xfrm>
                    <a:prstGeom prst="rect">
                      <a:avLst/>
                    </a:prstGeom>
                    <a:noFill/>
                    <a:ln>
                      <a:noFill/>
                    </a:ln>
                  </pic:spPr>
                </pic:pic>
              </a:graphicData>
            </a:graphic>
          </wp:inline>
        </w:drawing>
      </w:r>
    </w:p>
    <w:p w14:paraId="5E98FED2" w14:textId="77777777" w:rsidR="0094489E" w:rsidRDefault="00146C02">
      <w:pPr>
        <w:spacing w:after="120" w:line="240" w:lineRule="auto"/>
        <w:jc w:val="both"/>
        <w:rPr>
          <w:b/>
        </w:rPr>
      </w:pPr>
      <w:r>
        <w:rPr>
          <w:b/>
        </w:rPr>
        <w:t xml:space="preserve">Figure </w:t>
      </w:r>
      <w:r w:rsidR="007A7385">
        <w:rPr>
          <w:b/>
        </w:rPr>
        <w:t>S7</w:t>
      </w:r>
      <w:r>
        <w:rPr>
          <w:b/>
        </w:rPr>
        <w:t>. Heat map of correlations between metabolites in peripheral blood samples collected at the end of induction therapy.</w:t>
      </w:r>
    </w:p>
    <w:p w14:paraId="2E74AC83" w14:textId="77777777" w:rsidR="0094489E" w:rsidRDefault="00146C02">
      <w:pPr>
        <w:spacing w:after="0" w:line="240" w:lineRule="auto"/>
        <w:jc w:val="both"/>
        <w:rPr>
          <w:shd w:val="clear" w:color="auto" w:fill="FFFFFF"/>
        </w:rPr>
      </w:pPr>
      <w:r>
        <w:t>Hierarchical clustering analysis of Pearson’s coefficients calculated from the absolute metabolite concentrations (</w:t>
      </w:r>
      <w:r>
        <w:rPr>
          <w:b/>
        </w:rPr>
        <w:t>Table S1</w:t>
      </w:r>
      <w:r>
        <w:t xml:space="preserve">) </w:t>
      </w:r>
      <w:r>
        <w:rPr>
          <w:shd w:val="clear" w:color="auto" w:fill="FFFFFF"/>
        </w:rPr>
        <w:t>in PB samples collected on day 29.</w:t>
      </w:r>
      <w:r>
        <w:t xml:space="preserve"> Only Pearson’s correlation coefficients </w:t>
      </w:r>
      <w:r>
        <w:rPr>
          <w:shd w:val="clear" w:color="auto" w:fill="FFFFFF"/>
        </w:rPr>
        <w:t>r &gt; 0.75 or r &lt; </w:t>
      </w:r>
      <w:r>
        <w:rPr>
          <w:shd w:val="clear" w:color="auto" w:fill="FFFFFF"/>
        </w:rPr>
        <w:noBreakHyphen/>
        <w:t xml:space="preserve">0.75 are shown. </w:t>
      </w:r>
      <w:r>
        <w:t>Pairs of metabolites</w:t>
      </w:r>
      <w:r>
        <w:rPr>
          <w:shd w:val="clear" w:color="auto" w:fill="FFFFFF"/>
        </w:rPr>
        <w:t xml:space="preserve"> are hierarchically classified using city-block distance and average linkage clustering methods. Individual correlation coefficients and p-values can be found in </w:t>
      </w:r>
      <w:r>
        <w:rPr>
          <w:b/>
          <w:shd w:val="clear" w:color="auto" w:fill="FFFFFF"/>
        </w:rPr>
        <w:t>Table S6</w:t>
      </w:r>
      <w:r>
        <w:rPr>
          <w:shd w:val="clear" w:color="auto" w:fill="FFFFFF"/>
        </w:rPr>
        <w:t>.</w:t>
      </w:r>
    </w:p>
    <w:p w14:paraId="4D0AD87C" w14:textId="77777777" w:rsidR="0094489E" w:rsidRDefault="0094489E">
      <w:pPr>
        <w:rPr>
          <w:sz w:val="16"/>
          <w:szCs w:val="16"/>
        </w:rPr>
      </w:pPr>
    </w:p>
    <w:p w14:paraId="341FDE0C" w14:textId="77777777" w:rsidR="0094489E" w:rsidRDefault="0094489E">
      <w:pPr>
        <w:rPr>
          <w:sz w:val="16"/>
          <w:szCs w:val="16"/>
        </w:rPr>
      </w:pPr>
    </w:p>
    <w:p w14:paraId="45963366" w14:textId="77777777" w:rsidR="0094489E" w:rsidRDefault="0094489E">
      <w:pPr>
        <w:rPr>
          <w:sz w:val="16"/>
          <w:szCs w:val="16"/>
        </w:rPr>
      </w:pPr>
    </w:p>
    <w:p w14:paraId="2E3E9D02" w14:textId="77777777" w:rsidR="0094489E" w:rsidRDefault="00146C02">
      <w:pPr>
        <w:rPr>
          <w:sz w:val="16"/>
          <w:szCs w:val="16"/>
        </w:rPr>
      </w:pPr>
      <w:r>
        <w:rPr>
          <w:noProof/>
          <w:sz w:val="16"/>
          <w:szCs w:val="16"/>
        </w:rPr>
        <w:lastRenderedPageBreak/>
        <w:drawing>
          <wp:inline distT="0" distB="0" distL="0" distR="0" wp14:anchorId="6F6BCF0A" wp14:editId="15F29D69">
            <wp:extent cx="6468745" cy="7459345"/>
            <wp:effectExtent l="0" t="0" r="0" b="0"/>
            <wp:docPr id="8" name="Picture 8" descr="Macintosh HD:Users:yunyikang:Dropbox:NMR_Metabolomics:All paper Feb2013:Figures_corrected:SI_Figure_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yunyikang:Dropbox:NMR_Metabolomics:All paper Feb2013:Figures_corrected:SI_Figure_S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8745" cy="7459345"/>
                    </a:xfrm>
                    <a:prstGeom prst="rect">
                      <a:avLst/>
                    </a:prstGeom>
                    <a:noFill/>
                    <a:ln>
                      <a:noFill/>
                    </a:ln>
                  </pic:spPr>
                </pic:pic>
              </a:graphicData>
            </a:graphic>
          </wp:inline>
        </w:drawing>
      </w:r>
    </w:p>
    <w:p w14:paraId="331A1E1C" w14:textId="77777777" w:rsidR="0094489E" w:rsidRDefault="00146C02">
      <w:pPr>
        <w:spacing w:after="120" w:line="240" w:lineRule="auto"/>
        <w:jc w:val="both"/>
        <w:rPr>
          <w:b/>
        </w:rPr>
      </w:pPr>
      <w:r>
        <w:rPr>
          <w:b/>
        </w:rPr>
        <w:t xml:space="preserve">Figure </w:t>
      </w:r>
      <w:r w:rsidR="007A7385">
        <w:rPr>
          <w:b/>
        </w:rPr>
        <w:t>S8</w:t>
      </w:r>
      <w:r>
        <w:rPr>
          <w:b/>
        </w:rPr>
        <w:t>. Heat map of correlations between metabolic differences in bone marrow and peripheral blood samples collected at the end of induction therapy</w:t>
      </w:r>
      <w:r>
        <w:t>.</w:t>
      </w:r>
    </w:p>
    <w:p w14:paraId="0C01DD7C" w14:textId="77777777" w:rsidR="0094489E" w:rsidRDefault="00146C02">
      <w:pPr>
        <w:spacing w:after="0" w:line="240" w:lineRule="auto"/>
        <w:jc w:val="both"/>
        <w:rPr>
          <w:shd w:val="clear" w:color="auto" w:fill="FFFFFF"/>
        </w:rPr>
      </w:pPr>
      <w:r>
        <w:t xml:space="preserve">Hierarchical clustering analysis of Pearson’s coefficients calculated from the difference </w:t>
      </w:r>
      <w:r>
        <w:rPr>
          <w:shd w:val="clear" w:color="auto" w:fill="FFFFFF"/>
        </w:rPr>
        <w:t>in absolute metabolite concentrations in BM and PB samples (B29-P29) collected on day 29.</w:t>
      </w:r>
      <w:r>
        <w:t xml:space="preserve"> Only Pearson’s correlation coefficients </w:t>
      </w:r>
      <w:r>
        <w:rPr>
          <w:shd w:val="clear" w:color="auto" w:fill="FFFFFF"/>
        </w:rPr>
        <w:t xml:space="preserve">r &gt; 0.75 or r &lt; -0.75 are shown. </w:t>
      </w:r>
      <w:r>
        <w:t>Pairs of metabolites</w:t>
      </w:r>
      <w:r>
        <w:rPr>
          <w:shd w:val="clear" w:color="auto" w:fill="FFFFFF"/>
        </w:rPr>
        <w:t xml:space="preserve"> are hierarchically classified using city-block distance and average linkage clustering methods. Individual correlation coefficients and p-values can be found in </w:t>
      </w:r>
      <w:r>
        <w:rPr>
          <w:b/>
          <w:shd w:val="clear" w:color="auto" w:fill="FFFFFF"/>
        </w:rPr>
        <w:t>Table S7</w:t>
      </w:r>
      <w:r>
        <w:rPr>
          <w:shd w:val="clear" w:color="auto" w:fill="FFFFFF"/>
        </w:rPr>
        <w:t>.</w:t>
      </w:r>
    </w:p>
    <w:p w14:paraId="3E9A9233" w14:textId="77777777" w:rsidR="0094489E" w:rsidRDefault="0094489E">
      <w:pPr>
        <w:rPr>
          <w:sz w:val="16"/>
          <w:szCs w:val="16"/>
        </w:rPr>
      </w:pPr>
    </w:p>
    <w:p w14:paraId="4AE77230" w14:textId="77777777" w:rsidR="00192737" w:rsidRDefault="00192737">
      <w:pPr>
        <w:rPr>
          <w:sz w:val="16"/>
          <w:szCs w:val="16"/>
        </w:rPr>
      </w:pPr>
    </w:p>
    <w:p w14:paraId="2C14761A" w14:textId="77777777" w:rsidR="0094489E" w:rsidRDefault="00675C4A">
      <w:pPr>
        <w:rPr>
          <w:sz w:val="16"/>
          <w:szCs w:val="16"/>
        </w:rPr>
      </w:pPr>
      <w:r>
        <w:rPr>
          <w:noProof/>
          <w:sz w:val="16"/>
          <w:szCs w:val="16"/>
        </w:rPr>
        <w:lastRenderedPageBreak/>
        <w:drawing>
          <wp:inline distT="0" distB="0" distL="0" distR="0" wp14:anchorId="178D727B" wp14:editId="286D880A">
            <wp:extent cx="6768471" cy="1863305"/>
            <wp:effectExtent l="19050" t="0" r="0" b="0"/>
            <wp:docPr id="14" name="Picture 13" descr="SI_Figure_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Figure_S8.tif"/>
                    <pic:cNvPicPr/>
                  </pic:nvPicPr>
                  <pic:blipFill>
                    <a:blip r:embed="rId17"/>
                    <a:stretch>
                      <a:fillRect/>
                    </a:stretch>
                  </pic:blipFill>
                  <pic:spPr>
                    <a:xfrm>
                      <a:off x="0" y="0"/>
                      <a:ext cx="6766005" cy="1862626"/>
                    </a:xfrm>
                    <a:prstGeom prst="rect">
                      <a:avLst/>
                    </a:prstGeom>
                  </pic:spPr>
                </pic:pic>
              </a:graphicData>
            </a:graphic>
          </wp:inline>
        </w:drawing>
      </w:r>
    </w:p>
    <w:p w14:paraId="2803950B" w14:textId="77777777" w:rsidR="0094489E" w:rsidRDefault="00146C02">
      <w:pPr>
        <w:spacing w:after="120" w:line="240" w:lineRule="auto"/>
        <w:jc w:val="both"/>
        <w:rPr>
          <w:b/>
        </w:rPr>
      </w:pPr>
      <w:r>
        <w:rPr>
          <w:b/>
        </w:rPr>
        <w:t xml:space="preserve">Figure </w:t>
      </w:r>
      <w:r w:rsidR="007A7385">
        <w:rPr>
          <w:b/>
        </w:rPr>
        <w:t>S9</w:t>
      </w:r>
      <w:r>
        <w:t xml:space="preserve">. </w:t>
      </w:r>
      <w:r>
        <w:rPr>
          <w:b/>
        </w:rPr>
        <w:t>Multivariate analysis of bone marrow polar fractions in response to drug therapy.</w:t>
      </w:r>
    </w:p>
    <w:p w14:paraId="2C79996B" w14:textId="77777777" w:rsidR="0094489E" w:rsidRDefault="00146C02">
      <w:pPr>
        <w:spacing w:after="0" w:line="240" w:lineRule="auto"/>
        <w:jc w:val="both"/>
      </w:pPr>
      <w:r>
        <w:t xml:space="preserve">Untargeted mPCA was performed on </w:t>
      </w:r>
      <w:r>
        <w:rPr>
          <w:vertAlign w:val="superscript"/>
        </w:rPr>
        <w:t>1</w:t>
      </w:r>
      <w:r>
        <w:t>H-MRS spectra acquired on BM (</w:t>
      </w:r>
      <w:r w:rsidR="00EA5B7D">
        <w:rPr>
          <w:b/>
        </w:rPr>
        <w:t>A</w:t>
      </w:r>
      <w:r>
        <w:rPr>
          <w:b/>
        </w:rPr>
        <w:t xml:space="preserve">, </w:t>
      </w:r>
      <w:r w:rsidR="00EA5B7D">
        <w:rPr>
          <w:b/>
        </w:rPr>
        <w:t>B</w:t>
      </w:r>
      <w:r>
        <w:t>).</w:t>
      </w:r>
      <w:r>
        <w:rPr>
          <w:b/>
        </w:rPr>
        <w:t xml:space="preserve"> </w:t>
      </w:r>
      <w:r>
        <w:t>(</w:t>
      </w:r>
      <w:r w:rsidR="00EA5B7D">
        <w:rPr>
          <w:b/>
        </w:rPr>
        <w:t>A</w:t>
      </w:r>
      <w:r>
        <w:t>) mPCA scores plot shows a clear separation on PC1 (42.73%) between BM samples collected on day 0 and day 29</w:t>
      </w:r>
      <w:r w:rsidR="00EA5B7D">
        <w:t xml:space="preserve"> (42.73% on PC1)</w:t>
      </w:r>
      <w:r>
        <w:t>.</w:t>
      </w:r>
      <w:r>
        <w:rPr>
          <w:b/>
        </w:rPr>
        <w:t xml:space="preserve"> (</w:t>
      </w:r>
      <w:r w:rsidR="00EA5B7D">
        <w:rPr>
          <w:b/>
        </w:rPr>
        <w:t>B</w:t>
      </w:r>
      <w:r>
        <w:t>) Loadings plot for the first principal component highlights the metabolites that discriminate between BM before (negative loadings) and after (positive loadings) therapy. Metabolites are defined in the</w:t>
      </w:r>
      <w:r>
        <w:rPr>
          <w:smallCaps/>
        </w:rPr>
        <w:t xml:space="preserve"> </w:t>
      </w:r>
      <w:r>
        <w:t>Abbreviations section.</w:t>
      </w:r>
    </w:p>
    <w:p w14:paraId="4FFF7037" w14:textId="77777777" w:rsidR="0094489E" w:rsidRDefault="0094489E">
      <w:pPr>
        <w:rPr>
          <w:sz w:val="16"/>
          <w:szCs w:val="16"/>
        </w:rPr>
      </w:pPr>
    </w:p>
    <w:p w14:paraId="1580DFB9" w14:textId="77777777" w:rsidR="0094489E" w:rsidRDefault="0094489E">
      <w:pPr>
        <w:rPr>
          <w:sz w:val="16"/>
          <w:szCs w:val="16"/>
        </w:rPr>
      </w:pPr>
    </w:p>
    <w:p w14:paraId="0C138BB6" w14:textId="77777777" w:rsidR="0094489E" w:rsidRDefault="0094489E">
      <w:pPr>
        <w:rPr>
          <w:sz w:val="16"/>
          <w:szCs w:val="16"/>
        </w:rPr>
      </w:pPr>
    </w:p>
    <w:p w14:paraId="64E36DE0" w14:textId="77777777" w:rsidR="0094489E" w:rsidRDefault="0094489E">
      <w:pPr>
        <w:rPr>
          <w:sz w:val="16"/>
          <w:szCs w:val="16"/>
        </w:rPr>
      </w:pPr>
    </w:p>
    <w:p w14:paraId="03FB2363" w14:textId="77777777" w:rsidR="0094489E" w:rsidRDefault="0094489E">
      <w:pPr>
        <w:rPr>
          <w:sz w:val="16"/>
          <w:szCs w:val="16"/>
        </w:rPr>
      </w:pPr>
    </w:p>
    <w:p w14:paraId="54894DDA" w14:textId="77777777" w:rsidR="0094489E" w:rsidRDefault="0094489E">
      <w:pPr>
        <w:rPr>
          <w:sz w:val="16"/>
          <w:szCs w:val="16"/>
        </w:rPr>
      </w:pPr>
    </w:p>
    <w:p w14:paraId="327C8993" w14:textId="77777777" w:rsidR="0094489E" w:rsidRDefault="0094489E">
      <w:pPr>
        <w:rPr>
          <w:sz w:val="16"/>
          <w:szCs w:val="16"/>
        </w:rPr>
      </w:pPr>
    </w:p>
    <w:p w14:paraId="6EB69D06" w14:textId="77777777" w:rsidR="0094489E" w:rsidRDefault="0094489E">
      <w:pPr>
        <w:rPr>
          <w:sz w:val="16"/>
          <w:szCs w:val="16"/>
        </w:rPr>
      </w:pPr>
    </w:p>
    <w:p w14:paraId="6EB2DA1A" w14:textId="77777777" w:rsidR="0094489E" w:rsidRDefault="0094489E">
      <w:pPr>
        <w:rPr>
          <w:sz w:val="16"/>
          <w:szCs w:val="16"/>
        </w:rPr>
      </w:pPr>
    </w:p>
    <w:p w14:paraId="5E65F913" w14:textId="77777777" w:rsidR="0094489E" w:rsidRDefault="00A66726" w:rsidP="00A66726">
      <w:pPr>
        <w:jc w:val="center"/>
        <w:rPr>
          <w:sz w:val="16"/>
          <w:szCs w:val="16"/>
        </w:rPr>
      </w:pPr>
      <w:r>
        <w:rPr>
          <w:noProof/>
          <w:sz w:val="16"/>
          <w:szCs w:val="16"/>
        </w:rPr>
        <w:lastRenderedPageBreak/>
        <w:drawing>
          <wp:inline distT="0" distB="0" distL="0" distR="0" wp14:anchorId="0D08B9AF" wp14:editId="22C81E15">
            <wp:extent cx="6150864" cy="6263640"/>
            <wp:effectExtent l="19050" t="0" r="2286" b="0"/>
            <wp:docPr id="16" name="Picture 15" descr="SI_Figure_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Figure_S10.tif"/>
                    <pic:cNvPicPr/>
                  </pic:nvPicPr>
                  <pic:blipFill>
                    <a:blip r:embed="rId18"/>
                    <a:stretch>
                      <a:fillRect/>
                    </a:stretch>
                  </pic:blipFill>
                  <pic:spPr>
                    <a:xfrm>
                      <a:off x="0" y="0"/>
                      <a:ext cx="6150864" cy="6263640"/>
                    </a:xfrm>
                    <a:prstGeom prst="rect">
                      <a:avLst/>
                    </a:prstGeom>
                  </pic:spPr>
                </pic:pic>
              </a:graphicData>
            </a:graphic>
          </wp:inline>
        </w:drawing>
      </w:r>
    </w:p>
    <w:p w14:paraId="091141D2" w14:textId="77777777" w:rsidR="0094489E" w:rsidRDefault="00146C02">
      <w:pPr>
        <w:spacing w:after="120" w:line="240" w:lineRule="auto"/>
        <w:jc w:val="both"/>
        <w:rPr>
          <w:b/>
        </w:rPr>
      </w:pPr>
      <w:r>
        <w:rPr>
          <w:b/>
        </w:rPr>
        <w:t xml:space="preserve">Figure </w:t>
      </w:r>
      <w:r w:rsidR="007A7385">
        <w:rPr>
          <w:b/>
        </w:rPr>
        <w:t>S10</w:t>
      </w:r>
      <w:r>
        <w:rPr>
          <w:b/>
        </w:rPr>
        <w:t>. Multivariate analysis of the peripheral blood lipid fraction in response to drug therapy.</w:t>
      </w:r>
    </w:p>
    <w:p w14:paraId="7616C8B0" w14:textId="77777777" w:rsidR="0094489E" w:rsidRDefault="00146C02">
      <w:pPr>
        <w:spacing w:after="0" w:line="240" w:lineRule="auto"/>
        <w:jc w:val="both"/>
        <w:rPr>
          <w:shd w:val="clear" w:color="auto" w:fill="FFFFFF"/>
        </w:rPr>
      </w:pPr>
      <w:r>
        <w:t>(</w:t>
      </w:r>
      <w:r>
        <w:rPr>
          <w:b/>
        </w:rPr>
        <w:t xml:space="preserve">A, C, E) </w:t>
      </w:r>
      <w:r>
        <w:t>Score plots from mPLS-DA performed on MRS data acquired on the lipid fraction of PB at diagnosis (day 0), during therapy (day 8), and at the end of therapy (day 29). The model built comparing all three groups</w:t>
      </w:r>
      <w:r>
        <w:rPr>
          <w:smallCaps/>
        </w:rPr>
        <w:t xml:space="preserve"> </w:t>
      </w:r>
      <w:r>
        <w:t>was not significant, whereas the models built comparing (</w:t>
      </w:r>
      <w:r>
        <w:rPr>
          <w:b/>
        </w:rPr>
        <w:t>A</w:t>
      </w:r>
      <w:r>
        <w:t>-</w:t>
      </w:r>
      <w:r>
        <w:rPr>
          <w:b/>
        </w:rPr>
        <w:t>B)</w:t>
      </w:r>
      <w:r>
        <w:t xml:space="preserve"> PB collected on day 0 versus day 8 (19.99% on LV1; 4 LVs, Wilcoxon p ~ 0.003), </w:t>
      </w:r>
      <w:r>
        <w:rPr>
          <w:b/>
        </w:rPr>
        <w:t>(C-D)</w:t>
      </w:r>
      <w:r>
        <w:t xml:space="preserve"> PB collected on day 0 versus day 29 (43.04% on LV1; 4 LVs, Wilcoxon p ~ 0.017), and (</w:t>
      </w:r>
      <w:r>
        <w:rPr>
          <w:b/>
        </w:rPr>
        <w:t>E</w:t>
      </w:r>
      <w:r>
        <w:t>-</w:t>
      </w:r>
      <w:r>
        <w:rPr>
          <w:b/>
        </w:rPr>
        <w:t>F</w:t>
      </w:r>
      <w:r>
        <w:t>) PB collected on day 8 versus day 29 (34.03% on LV1; 2 LVs, Wilcoxon p ~ 0.001) were all significantly validated. Sensitivity and specificity values on cross-validated mPLS-DA models were all &gt;90%. (</w:t>
      </w:r>
      <w:r>
        <w:rPr>
          <w:b/>
        </w:rPr>
        <w:t xml:space="preserve">B, D, F) </w:t>
      </w:r>
      <w:r>
        <w:t xml:space="preserve">Corresponding weights plots on LV1 depict the most relevant discriminatory functional groups for PB samples in response to drug therapy. Red areas in </w:t>
      </w:r>
      <w:r>
        <w:rPr>
          <w:b/>
        </w:rPr>
        <w:t>B</w:t>
      </w:r>
      <w:r>
        <w:t xml:space="preserve">, </w:t>
      </w:r>
      <w:r>
        <w:rPr>
          <w:b/>
        </w:rPr>
        <w:t>C</w:t>
      </w:r>
      <w:r>
        <w:t>, and</w:t>
      </w:r>
      <w:r>
        <w:rPr>
          <w:b/>
        </w:rPr>
        <w:t xml:space="preserve"> F</w:t>
      </w:r>
      <w:r>
        <w:t xml:space="preserve"> indicate significantly different regions according to a point-by-point nonparametric </w:t>
      </w:r>
      <w:r>
        <w:rPr>
          <w:shd w:val="clear" w:color="auto" w:fill="FFFFFF"/>
        </w:rPr>
        <w:t>WRST (p &lt; 0.05) analysis.</w:t>
      </w:r>
    </w:p>
    <w:p w14:paraId="631DF901" w14:textId="77777777" w:rsidR="0094489E" w:rsidRDefault="0094489E">
      <w:pPr>
        <w:rPr>
          <w:sz w:val="16"/>
          <w:szCs w:val="16"/>
        </w:rPr>
      </w:pPr>
    </w:p>
    <w:p w14:paraId="0FE678F4" w14:textId="77777777" w:rsidR="0094489E" w:rsidRDefault="0094489E">
      <w:pPr>
        <w:rPr>
          <w:sz w:val="16"/>
          <w:szCs w:val="16"/>
        </w:rPr>
      </w:pPr>
    </w:p>
    <w:p w14:paraId="17BAD719" w14:textId="77777777" w:rsidR="0094489E" w:rsidRDefault="00BE194F" w:rsidP="00BE194F">
      <w:pPr>
        <w:jc w:val="center"/>
        <w:rPr>
          <w:sz w:val="16"/>
          <w:szCs w:val="16"/>
        </w:rPr>
      </w:pPr>
      <w:r>
        <w:rPr>
          <w:noProof/>
          <w:sz w:val="16"/>
          <w:szCs w:val="16"/>
        </w:rPr>
        <w:lastRenderedPageBreak/>
        <w:drawing>
          <wp:inline distT="0" distB="0" distL="0" distR="0" wp14:anchorId="7236C53F" wp14:editId="3A39F5E0">
            <wp:extent cx="5562241" cy="7436677"/>
            <wp:effectExtent l="19050" t="0" r="359" b="0"/>
            <wp:docPr id="17" name="Picture 16" descr="SI_Figure_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Figure_S11.tif"/>
                    <pic:cNvPicPr/>
                  </pic:nvPicPr>
                  <pic:blipFill>
                    <a:blip r:embed="rId19"/>
                    <a:stretch>
                      <a:fillRect/>
                    </a:stretch>
                  </pic:blipFill>
                  <pic:spPr>
                    <a:xfrm>
                      <a:off x="0" y="0"/>
                      <a:ext cx="5563379" cy="7438199"/>
                    </a:xfrm>
                    <a:prstGeom prst="rect">
                      <a:avLst/>
                    </a:prstGeom>
                  </pic:spPr>
                </pic:pic>
              </a:graphicData>
            </a:graphic>
          </wp:inline>
        </w:drawing>
      </w:r>
    </w:p>
    <w:p w14:paraId="75DAA53B" w14:textId="77777777" w:rsidR="0094489E" w:rsidRDefault="00146C02">
      <w:pPr>
        <w:spacing w:after="120" w:line="240" w:lineRule="auto"/>
        <w:jc w:val="both"/>
        <w:rPr>
          <w:b/>
        </w:rPr>
      </w:pPr>
      <w:r>
        <w:rPr>
          <w:b/>
        </w:rPr>
        <w:t xml:space="preserve">Figure </w:t>
      </w:r>
      <w:r w:rsidR="007A7385">
        <w:rPr>
          <w:b/>
        </w:rPr>
        <w:t>S11</w:t>
      </w:r>
      <w:r>
        <w:rPr>
          <w:b/>
        </w:rPr>
        <w:t>. Targeted</w:t>
      </w:r>
      <w:r>
        <w:t xml:space="preserve"> </w:t>
      </w:r>
      <w:r>
        <w:rPr>
          <w:b/>
        </w:rPr>
        <w:t>metabolic analysis of peripheral blood samples at diagnosis and during or after induction therapy.</w:t>
      </w:r>
    </w:p>
    <w:p w14:paraId="6001CFC1" w14:textId="77777777" w:rsidR="0094489E" w:rsidRDefault="00146C02">
      <w:pPr>
        <w:spacing w:after="0" w:line="240" w:lineRule="auto"/>
        <w:jc w:val="both"/>
        <w:rPr>
          <w:b/>
        </w:rPr>
      </w:pPr>
      <w:r>
        <w:t>Bar graphs</w:t>
      </w:r>
      <w:r>
        <w:rPr>
          <w:smallCaps/>
        </w:rPr>
        <w:t xml:space="preserve"> </w:t>
      </w:r>
      <w:r>
        <w:t>show the fold change in absolute metabolite concentrations (mean ± </w:t>
      </w:r>
      <w:r>
        <w:rPr>
          <w:rStyle w:val="Emphasis"/>
          <w:bCs/>
          <w:i w:val="0"/>
          <w:iCs w:val="0"/>
          <w:color w:val="000000"/>
          <w:shd w:val="clear" w:color="auto" w:fill="FFFFFF"/>
        </w:rPr>
        <w:t>SE</w:t>
      </w:r>
      <w:r>
        <w:rPr>
          <w:rStyle w:val="Emphasis"/>
          <w:bCs/>
          <w:i w:val="0"/>
          <w:iCs w:val="0"/>
          <w:shd w:val="clear" w:color="auto" w:fill="FFFFFF"/>
        </w:rPr>
        <w:t>M, n = </w:t>
      </w:r>
      <w:r>
        <w:rPr>
          <w:shd w:val="clear" w:color="auto" w:fill="FFFFFF"/>
        </w:rPr>
        <w:t>10 patients)</w:t>
      </w:r>
      <w:r>
        <w:t xml:space="preserve"> (</w:t>
      </w:r>
      <w:r>
        <w:rPr>
          <w:b/>
        </w:rPr>
        <w:t>SI, Table S2</w:t>
      </w:r>
      <w:r>
        <w:t>). (</w:t>
      </w:r>
      <w:r>
        <w:rPr>
          <w:b/>
        </w:rPr>
        <w:t>A</w:t>
      </w:r>
      <w:r>
        <w:t xml:space="preserve">) Change in metabolites between day 0 and day 8. Using WRST, </w:t>
      </w:r>
      <w:r>
        <w:rPr>
          <w:shd w:val="clear" w:color="auto" w:fill="FFFFFF"/>
        </w:rPr>
        <w:t xml:space="preserve">25 metabolites showed statistically significant differences with pFDR &lt;10%, and 16 with pFDR &lt;5%. </w:t>
      </w:r>
      <w:r>
        <w:rPr>
          <w:b/>
          <w:shd w:val="clear" w:color="auto" w:fill="FFFFFF"/>
        </w:rPr>
        <w:t>(B)</w:t>
      </w:r>
      <w:r>
        <w:rPr>
          <w:shd w:val="clear" w:color="auto" w:fill="FFFFFF"/>
        </w:rPr>
        <w:t xml:space="preserve"> </w:t>
      </w:r>
      <w:r>
        <w:t xml:space="preserve">Change in metabolites between day 0 and day 29. Using WRST, </w:t>
      </w:r>
      <w:r>
        <w:rPr>
          <w:shd w:val="clear" w:color="auto" w:fill="FFFFFF"/>
        </w:rPr>
        <w:t xml:space="preserve">30 metabolites showed statistically significant differences with pFDR &lt;10%, and 22 with pFDR&lt;5%. </w:t>
      </w:r>
      <w:r>
        <w:rPr>
          <w:b/>
          <w:shd w:val="clear" w:color="auto" w:fill="FFFFFF"/>
        </w:rPr>
        <w:t>(C)</w:t>
      </w:r>
      <w:r>
        <w:rPr>
          <w:shd w:val="clear" w:color="auto" w:fill="FFFFFF"/>
        </w:rPr>
        <w:t xml:space="preserve"> </w:t>
      </w:r>
      <w:r>
        <w:t xml:space="preserve">Change in metabolites between day 8 and day 29. Using WRST, </w:t>
      </w:r>
      <w:r>
        <w:rPr>
          <w:shd w:val="clear" w:color="auto" w:fill="FFFFFF"/>
        </w:rPr>
        <w:t>18 metabolites showed statistically significant differences with pFDR &lt;10%, and 15 with pFDR &lt;5%.</w:t>
      </w:r>
    </w:p>
    <w:p w14:paraId="408BFAC0" w14:textId="77777777" w:rsidR="0094489E" w:rsidRDefault="0094489E">
      <w:pPr>
        <w:rPr>
          <w:sz w:val="16"/>
          <w:szCs w:val="16"/>
        </w:rPr>
      </w:pPr>
    </w:p>
    <w:p w14:paraId="551F7735" w14:textId="77777777" w:rsidR="0094489E" w:rsidRDefault="0094489E">
      <w:pPr>
        <w:rPr>
          <w:sz w:val="16"/>
          <w:szCs w:val="16"/>
        </w:rPr>
      </w:pPr>
    </w:p>
    <w:p w14:paraId="332D15D4" w14:textId="77777777" w:rsidR="0094489E" w:rsidRDefault="00A0293C" w:rsidP="00A0293C">
      <w:pPr>
        <w:jc w:val="center"/>
        <w:rPr>
          <w:sz w:val="16"/>
          <w:szCs w:val="16"/>
        </w:rPr>
      </w:pPr>
      <w:r>
        <w:rPr>
          <w:noProof/>
          <w:sz w:val="16"/>
          <w:szCs w:val="16"/>
        </w:rPr>
        <w:drawing>
          <wp:inline distT="0" distB="0" distL="0" distR="0" wp14:anchorId="5C9A731B" wp14:editId="2C3EBFC2">
            <wp:extent cx="6425184" cy="2127504"/>
            <wp:effectExtent l="19050" t="0" r="0" b="0"/>
            <wp:docPr id="18" name="Picture 17" descr="SI_Figure_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Figure_S12.tif"/>
                    <pic:cNvPicPr/>
                  </pic:nvPicPr>
                  <pic:blipFill>
                    <a:blip r:embed="rId20"/>
                    <a:stretch>
                      <a:fillRect/>
                    </a:stretch>
                  </pic:blipFill>
                  <pic:spPr>
                    <a:xfrm>
                      <a:off x="0" y="0"/>
                      <a:ext cx="6425184" cy="2127504"/>
                    </a:xfrm>
                    <a:prstGeom prst="rect">
                      <a:avLst/>
                    </a:prstGeom>
                  </pic:spPr>
                </pic:pic>
              </a:graphicData>
            </a:graphic>
          </wp:inline>
        </w:drawing>
      </w:r>
    </w:p>
    <w:p w14:paraId="63AB3D3B" w14:textId="77777777" w:rsidR="0094489E" w:rsidRDefault="0094489E">
      <w:pPr>
        <w:rPr>
          <w:sz w:val="16"/>
          <w:szCs w:val="16"/>
        </w:rPr>
      </w:pPr>
    </w:p>
    <w:p w14:paraId="3B58EAC2" w14:textId="77777777" w:rsidR="0094489E" w:rsidRDefault="00146C02">
      <w:pPr>
        <w:spacing w:after="120" w:line="240" w:lineRule="auto"/>
        <w:jc w:val="both"/>
        <w:rPr>
          <w:b/>
        </w:rPr>
      </w:pPr>
      <w:r>
        <w:rPr>
          <w:b/>
        </w:rPr>
        <w:t xml:space="preserve">Figure </w:t>
      </w:r>
      <w:r w:rsidR="007A7385">
        <w:rPr>
          <w:b/>
        </w:rPr>
        <w:t>S12</w:t>
      </w:r>
      <w:r>
        <w:rPr>
          <w:b/>
        </w:rPr>
        <w:t xml:space="preserve">. Untargeted mPLS-DA performed on </w:t>
      </w:r>
      <w:r>
        <w:rPr>
          <w:b/>
          <w:vertAlign w:val="superscript"/>
        </w:rPr>
        <w:t>1</w:t>
      </w:r>
      <w:r>
        <w:rPr>
          <w:b/>
        </w:rPr>
        <w:t>H-MRS spectra acquired on the</w:t>
      </w:r>
      <w:r>
        <w:t xml:space="preserve"> </w:t>
      </w:r>
      <w:r>
        <w:rPr>
          <w:b/>
        </w:rPr>
        <w:t>whole lipid fraction of bone marrow samples collected at diagnosis.</w:t>
      </w:r>
    </w:p>
    <w:p w14:paraId="5D32E4A6" w14:textId="77777777" w:rsidR="0094489E" w:rsidRDefault="00146C02">
      <w:pPr>
        <w:spacing w:after="0" w:line="240" w:lineRule="auto"/>
        <w:jc w:val="both"/>
      </w:pPr>
      <w:r>
        <w:t xml:space="preserve">Scores plot </w:t>
      </w:r>
      <w:r>
        <w:rPr>
          <w:b/>
        </w:rPr>
        <w:t>(</w:t>
      </w:r>
      <w:r>
        <w:rPr>
          <w:b/>
          <w:bCs/>
        </w:rPr>
        <w:t xml:space="preserve">A) </w:t>
      </w:r>
      <w:r>
        <w:t xml:space="preserve">and weights plot on LV1 </w:t>
      </w:r>
      <w:r>
        <w:rPr>
          <w:b/>
        </w:rPr>
        <w:t>(B)</w:t>
      </w:r>
      <w:r>
        <w:t xml:space="preserve"> obtained from mPLS-DA performed on full spectra of BM samples collected on day 0 and day 29. The weights plot highlights the most relevant discriminatory functional groups for BM samples before (negative weights) and after (positive weights) treatment. Red areas in </w:t>
      </w:r>
      <w:r>
        <w:rPr>
          <w:b/>
        </w:rPr>
        <w:t>B</w:t>
      </w:r>
      <w:r>
        <w:t xml:space="preserve"> indicate </w:t>
      </w:r>
      <w:r>
        <w:rPr>
          <w:shd w:val="clear" w:color="auto" w:fill="FFFFFF"/>
        </w:rPr>
        <w:t>significantly different regions according to a</w:t>
      </w:r>
      <w:r>
        <w:t xml:space="preserve"> point-by-point nonparametric </w:t>
      </w:r>
      <w:r>
        <w:rPr>
          <w:shd w:val="clear" w:color="auto" w:fill="FFFFFF"/>
        </w:rPr>
        <w:t>WRST (p &lt; 0.05) analysis</w:t>
      </w:r>
      <w:r>
        <w:t>.</w:t>
      </w:r>
    </w:p>
    <w:p w14:paraId="047A9BC9" w14:textId="77777777" w:rsidR="0094489E" w:rsidRDefault="0094489E">
      <w:pPr>
        <w:spacing w:after="0" w:line="240" w:lineRule="auto"/>
        <w:jc w:val="both"/>
        <w:rPr>
          <w:b/>
        </w:rPr>
      </w:pPr>
    </w:p>
    <w:p w14:paraId="6EB71B93" w14:textId="77777777" w:rsidR="0094489E" w:rsidRDefault="0094489E">
      <w:pPr>
        <w:rPr>
          <w:sz w:val="16"/>
          <w:szCs w:val="16"/>
        </w:rPr>
      </w:pPr>
    </w:p>
    <w:p w14:paraId="01A9C108" w14:textId="77777777" w:rsidR="0094489E" w:rsidRDefault="0094489E">
      <w:pPr>
        <w:rPr>
          <w:sz w:val="16"/>
          <w:szCs w:val="16"/>
        </w:rPr>
      </w:pPr>
    </w:p>
    <w:p w14:paraId="685EEF4D" w14:textId="77777777" w:rsidR="0094489E" w:rsidRDefault="0094489E">
      <w:pPr>
        <w:rPr>
          <w:sz w:val="16"/>
          <w:szCs w:val="16"/>
        </w:rPr>
      </w:pPr>
    </w:p>
    <w:p w14:paraId="1D0F3AF0" w14:textId="77777777" w:rsidR="0094489E" w:rsidRDefault="0094489E">
      <w:pPr>
        <w:rPr>
          <w:sz w:val="16"/>
          <w:szCs w:val="16"/>
        </w:rPr>
      </w:pPr>
    </w:p>
    <w:p w14:paraId="6C54BF95" w14:textId="77777777" w:rsidR="0094489E" w:rsidRDefault="0094489E">
      <w:pPr>
        <w:rPr>
          <w:sz w:val="16"/>
          <w:szCs w:val="16"/>
        </w:rPr>
      </w:pPr>
    </w:p>
    <w:p w14:paraId="0A46B264" w14:textId="77777777" w:rsidR="0094489E" w:rsidRDefault="0094489E">
      <w:pPr>
        <w:rPr>
          <w:sz w:val="16"/>
          <w:szCs w:val="16"/>
        </w:rPr>
      </w:pPr>
    </w:p>
    <w:p w14:paraId="55365229" w14:textId="77777777" w:rsidR="0094489E" w:rsidRDefault="0094489E">
      <w:pPr>
        <w:rPr>
          <w:sz w:val="16"/>
          <w:szCs w:val="16"/>
        </w:rPr>
      </w:pPr>
    </w:p>
    <w:p w14:paraId="1FFAD2B4" w14:textId="77777777" w:rsidR="0094489E" w:rsidRDefault="0094489E">
      <w:pPr>
        <w:rPr>
          <w:sz w:val="16"/>
          <w:szCs w:val="16"/>
        </w:rPr>
      </w:pPr>
    </w:p>
    <w:p w14:paraId="7471F4C4" w14:textId="77777777" w:rsidR="0094489E" w:rsidRDefault="0094489E">
      <w:pPr>
        <w:rPr>
          <w:sz w:val="16"/>
          <w:szCs w:val="16"/>
        </w:rPr>
      </w:pPr>
    </w:p>
    <w:p w14:paraId="52C7F7F1" w14:textId="77777777" w:rsidR="0094489E" w:rsidRDefault="0094489E">
      <w:pPr>
        <w:rPr>
          <w:sz w:val="16"/>
          <w:szCs w:val="16"/>
        </w:rPr>
      </w:pPr>
    </w:p>
    <w:p w14:paraId="5C7FB263" w14:textId="77777777" w:rsidR="0094489E" w:rsidRDefault="0094489E">
      <w:pPr>
        <w:rPr>
          <w:sz w:val="16"/>
          <w:szCs w:val="16"/>
        </w:rPr>
      </w:pPr>
    </w:p>
    <w:p w14:paraId="29EB7800" w14:textId="77777777" w:rsidR="0094489E" w:rsidRDefault="0094489E">
      <w:pPr>
        <w:rPr>
          <w:sz w:val="16"/>
          <w:szCs w:val="16"/>
        </w:rPr>
      </w:pPr>
    </w:p>
    <w:p w14:paraId="49677164" w14:textId="77777777" w:rsidR="0094489E" w:rsidRDefault="0094489E">
      <w:pPr>
        <w:rPr>
          <w:sz w:val="16"/>
          <w:szCs w:val="16"/>
        </w:rPr>
      </w:pPr>
    </w:p>
    <w:p w14:paraId="2075D78E" w14:textId="77777777" w:rsidR="0094489E" w:rsidRDefault="0094489E">
      <w:pPr>
        <w:rPr>
          <w:sz w:val="16"/>
          <w:szCs w:val="16"/>
        </w:rPr>
      </w:pPr>
    </w:p>
    <w:p w14:paraId="63DB2E56" w14:textId="77777777" w:rsidR="0094489E" w:rsidRDefault="0094489E">
      <w:pPr>
        <w:rPr>
          <w:sz w:val="16"/>
          <w:szCs w:val="16"/>
        </w:rPr>
      </w:pPr>
    </w:p>
    <w:p w14:paraId="6A8D8B95" w14:textId="77777777" w:rsidR="0094489E" w:rsidRDefault="0094489E">
      <w:pPr>
        <w:rPr>
          <w:sz w:val="16"/>
          <w:szCs w:val="16"/>
        </w:rPr>
      </w:pPr>
    </w:p>
    <w:p w14:paraId="5330B403" w14:textId="77777777" w:rsidR="0094489E" w:rsidRDefault="0094489E">
      <w:pPr>
        <w:rPr>
          <w:sz w:val="16"/>
          <w:szCs w:val="16"/>
        </w:rPr>
      </w:pPr>
    </w:p>
    <w:p w14:paraId="0E76AB9D" w14:textId="77777777" w:rsidR="0094489E" w:rsidRDefault="0094489E">
      <w:pPr>
        <w:rPr>
          <w:sz w:val="16"/>
          <w:szCs w:val="16"/>
        </w:rPr>
      </w:pPr>
    </w:p>
    <w:p w14:paraId="79A25550" w14:textId="77777777" w:rsidR="0094489E" w:rsidRDefault="0094489E">
      <w:pPr>
        <w:rPr>
          <w:sz w:val="16"/>
          <w:szCs w:val="16"/>
        </w:rPr>
      </w:pPr>
    </w:p>
    <w:p w14:paraId="63AFCF81" w14:textId="77777777" w:rsidR="0094489E" w:rsidRDefault="00146C02" w:rsidP="00A0293C">
      <w:pPr>
        <w:jc w:val="center"/>
        <w:rPr>
          <w:sz w:val="16"/>
          <w:szCs w:val="16"/>
        </w:rPr>
      </w:pPr>
      <w:r>
        <w:rPr>
          <w:noProof/>
          <w:sz w:val="16"/>
          <w:szCs w:val="16"/>
        </w:rPr>
        <w:drawing>
          <wp:inline distT="0" distB="0" distL="0" distR="0" wp14:anchorId="7E4F2CFF" wp14:editId="3E7E2354">
            <wp:extent cx="3827314" cy="7772400"/>
            <wp:effectExtent l="0" t="0" r="8255" b="0"/>
            <wp:docPr id="13" name="Picture 13" descr="Macintosh HD:Users:yunyikang:Dropbox:NMR_Metabolomics:All paper Feb2013:Figures_corrected:SI_Figure_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yunyikang:Dropbox:NMR_Metabolomics:All paper Feb2013:Figures_corrected:SI_Figure_S12.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7314" cy="7772400"/>
                    </a:xfrm>
                    <a:prstGeom prst="rect">
                      <a:avLst/>
                    </a:prstGeom>
                    <a:noFill/>
                    <a:ln>
                      <a:noFill/>
                    </a:ln>
                  </pic:spPr>
                </pic:pic>
              </a:graphicData>
            </a:graphic>
          </wp:inline>
        </w:drawing>
      </w:r>
    </w:p>
    <w:p w14:paraId="6AB86200" w14:textId="77777777" w:rsidR="0094489E" w:rsidRDefault="00146C02">
      <w:pPr>
        <w:spacing w:after="120" w:line="240" w:lineRule="auto"/>
        <w:jc w:val="both"/>
        <w:rPr>
          <w:b/>
        </w:rPr>
      </w:pPr>
      <w:r>
        <w:rPr>
          <w:b/>
        </w:rPr>
        <w:t xml:space="preserve">Figure </w:t>
      </w:r>
      <w:r w:rsidR="007A7385">
        <w:rPr>
          <w:b/>
        </w:rPr>
        <w:t>S13</w:t>
      </w:r>
      <w:r>
        <w:rPr>
          <w:b/>
        </w:rPr>
        <w:t>. Targeted</w:t>
      </w:r>
      <w:r>
        <w:t xml:space="preserve"> </w:t>
      </w:r>
      <w:r>
        <w:rPr>
          <w:b/>
        </w:rPr>
        <w:t>metabolic analysis of bone marrow samples at diagnosis and after induction therapy.</w:t>
      </w:r>
    </w:p>
    <w:p w14:paraId="3E94878C" w14:textId="77777777" w:rsidR="0094489E" w:rsidRDefault="00146C02" w:rsidP="00A0293C">
      <w:pPr>
        <w:spacing w:after="0" w:line="240" w:lineRule="auto"/>
        <w:jc w:val="both"/>
        <w:rPr>
          <w:shd w:val="clear" w:color="auto" w:fill="FFFFFF"/>
        </w:rPr>
      </w:pPr>
      <w:r>
        <w:t>The bar graph indicates the fold change in absolute metabolite concentrations (</w:t>
      </w:r>
      <w:r>
        <w:rPr>
          <w:b/>
        </w:rPr>
        <w:t>Table S1</w:t>
      </w:r>
      <w:r>
        <w:t xml:space="preserve">) in BM samples collected on day 0 and day 29 (mean ± SEM, n = 10 patients). Using WRST, </w:t>
      </w:r>
      <w:r>
        <w:rPr>
          <w:shd w:val="clear" w:color="auto" w:fill="FFFFFF"/>
        </w:rPr>
        <w:t xml:space="preserve">30 metabolites showed statistically significant differences with pFDR &lt;10%, and 26 with pFDR &lt;5%. </w:t>
      </w:r>
    </w:p>
    <w:p w14:paraId="55445DF9" w14:textId="77777777" w:rsidR="00C622FB" w:rsidRDefault="00C622FB" w:rsidP="00A0293C">
      <w:pPr>
        <w:spacing w:after="0" w:line="240" w:lineRule="auto"/>
        <w:jc w:val="both"/>
        <w:rPr>
          <w:b/>
        </w:rPr>
      </w:pPr>
    </w:p>
    <w:p w14:paraId="61DFCDFE" w14:textId="77777777" w:rsidR="00603DB2" w:rsidRDefault="002F280A" w:rsidP="00603DB2">
      <w:pPr>
        <w:spacing w:after="120" w:line="240" w:lineRule="auto"/>
        <w:jc w:val="both"/>
        <w:rPr>
          <w:b/>
        </w:rPr>
      </w:pPr>
      <w:r>
        <w:rPr>
          <w:b/>
          <w:noProof/>
        </w:rPr>
        <w:drawing>
          <wp:inline distT="0" distB="0" distL="0" distR="0" wp14:anchorId="063353C2" wp14:editId="49F89E5A">
            <wp:extent cx="6504317" cy="7856317"/>
            <wp:effectExtent l="0" t="0" r="0" b="0"/>
            <wp:docPr id="9" name="Picture 9" descr="C:\Users\Tiziani\Dropbox\XXX_Stefano\Grants\XXX_submitted\PlosOne\BarGraph4PL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ziani\Dropbox\XXX_Stefano\Grants\XXX_submitted\PlosOne\BarGraph4PLOS.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8057" cy="7860834"/>
                    </a:xfrm>
                    <a:prstGeom prst="rect">
                      <a:avLst/>
                    </a:prstGeom>
                    <a:noFill/>
                    <a:ln>
                      <a:noFill/>
                    </a:ln>
                  </pic:spPr>
                </pic:pic>
              </a:graphicData>
            </a:graphic>
          </wp:inline>
        </w:drawing>
      </w:r>
    </w:p>
    <w:p w14:paraId="11FE19F8" w14:textId="77777777" w:rsidR="00603DB2" w:rsidRDefault="00603DB2" w:rsidP="00603DB2">
      <w:pPr>
        <w:spacing w:after="120" w:line="240" w:lineRule="auto"/>
        <w:jc w:val="both"/>
        <w:rPr>
          <w:b/>
        </w:rPr>
      </w:pPr>
    </w:p>
    <w:p w14:paraId="62B26DAC" w14:textId="5C36F185" w:rsidR="00C622FB" w:rsidRPr="006B616A" w:rsidRDefault="00C622FB" w:rsidP="00603DB2">
      <w:pPr>
        <w:spacing w:after="120" w:line="240" w:lineRule="auto"/>
        <w:jc w:val="both"/>
        <w:rPr>
          <w:b/>
        </w:rPr>
      </w:pPr>
      <w:r>
        <w:rPr>
          <w:b/>
        </w:rPr>
        <w:t xml:space="preserve">Figure S14. </w:t>
      </w:r>
      <w:r w:rsidRPr="00C622FB">
        <w:rPr>
          <w:b/>
        </w:rPr>
        <w:t xml:space="preserve">Metabolic concentration </w:t>
      </w:r>
      <w:r w:rsidRPr="00603DB2">
        <w:rPr>
          <w:b/>
          <w:shd w:val="clear" w:color="auto" w:fill="FFFFFF"/>
        </w:rPr>
        <w:t>from normal pediatric plasma metabolites levels available in the literature</w:t>
      </w:r>
      <w:r w:rsidR="00603DB2">
        <w:rPr>
          <w:b/>
          <w:shd w:val="clear" w:color="auto" w:fill="FFFFFF"/>
        </w:rPr>
        <w:t xml:space="preserve">. </w:t>
      </w:r>
      <w:r w:rsidR="00603DB2" w:rsidRPr="006B616A">
        <w:rPr>
          <w:shd w:val="clear" w:color="auto" w:fill="FFFFFF"/>
        </w:rPr>
        <w:t xml:space="preserve">Data from normal pediatric plasma metabolites levels available in the literature have been compared to the metabolic analysis </w:t>
      </w:r>
      <w:r w:rsidR="00603DB2" w:rsidRPr="006B616A">
        <w:t>of peripheral blood samples at diagnosis and during or after induction therapy. Bar graphs</w:t>
      </w:r>
      <w:r w:rsidR="00603DB2" w:rsidRPr="006B616A">
        <w:rPr>
          <w:smallCaps/>
        </w:rPr>
        <w:t xml:space="preserve"> </w:t>
      </w:r>
      <w:r w:rsidR="00603DB2" w:rsidRPr="006B616A">
        <w:t>show the fold change in absolute metabolite concentrations (mean ± </w:t>
      </w:r>
      <w:r w:rsidR="00603DB2" w:rsidRPr="006B616A">
        <w:rPr>
          <w:rStyle w:val="Emphasis"/>
          <w:bCs/>
          <w:i w:val="0"/>
          <w:iCs w:val="0"/>
          <w:shd w:val="clear" w:color="auto" w:fill="FFFFFF"/>
        </w:rPr>
        <w:t>SEM</w:t>
      </w:r>
      <w:r w:rsidR="00603DB2" w:rsidRPr="006B616A">
        <w:rPr>
          <w:shd w:val="clear" w:color="auto" w:fill="FFFFFF"/>
        </w:rPr>
        <w:t>).</w:t>
      </w:r>
      <w:r w:rsidR="00603DB2" w:rsidRPr="006B616A">
        <w:t xml:space="preserve"> </w:t>
      </w:r>
    </w:p>
    <w:sectPr w:rsidR="00C622FB" w:rsidRPr="006B616A" w:rsidSect="0094489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B902E" w14:textId="77777777" w:rsidR="00F74221" w:rsidRDefault="00F74221">
      <w:pPr>
        <w:spacing w:after="0" w:line="240" w:lineRule="auto"/>
      </w:pPr>
      <w:r>
        <w:separator/>
      </w:r>
    </w:p>
  </w:endnote>
  <w:endnote w:type="continuationSeparator" w:id="0">
    <w:p w14:paraId="60FC3035" w14:textId="77777777" w:rsidR="00F74221" w:rsidRDefault="00F74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맑은 고딕">
    <w:panose1 w:val="00000000000000000000"/>
    <w:charset w:val="80"/>
    <w:family w:val="roman"/>
    <w:notTrueType/>
    <w:pitch w:val="default"/>
  </w:font>
  <w:font w:name="WarnockPro-Regular">
    <w:altName w:val="Cambria"/>
    <w:panose1 w:val="00000000000000000000"/>
    <w:charset w:val="4D"/>
    <w:family w:val="auto"/>
    <w:notTrueType/>
    <w:pitch w:val="default"/>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1AC75" w14:textId="77777777" w:rsidR="00F74221" w:rsidRDefault="00F74221">
      <w:pPr>
        <w:spacing w:after="0" w:line="240" w:lineRule="auto"/>
      </w:pPr>
      <w:r>
        <w:separator/>
      </w:r>
    </w:p>
  </w:footnote>
  <w:footnote w:type="continuationSeparator" w:id="0">
    <w:p w14:paraId="3AC00720" w14:textId="77777777" w:rsidR="00F74221" w:rsidRDefault="00F7422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2233D"/>
    <w:multiLevelType w:val="hybridMultilevel"/>
    <w:tmpl w:val="75C44B88"/>
    <w:lvl w:ilvl="0" w:tplc="67B88B9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DateAndTime/>
  <w:doNotTrackMoves/>
  <w:doNotTrackFormatting/>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Suspended&gt;1&lt;/Suspended&gt;&lt;/ENInstantFormat&gt;"/>
  </w:docVars>
  <w:rsids>
    <w:rsidRoot w:val="0094489E"/>
    <w:rsid w:val="000174FD"/>
    <w:rsid w:val="001246B6"/>
    <w:rsid w:val="00132F63"/>
    <w:rsid w:val="00146C02"/>
    <w:rsid w:val="00192737"/>
    <w:rsid w:val="002078AD"/>
    <w:rsid w:val="0025320D"/>
    <w:rsid w:val="002F280A"/>
    <w:rsid w:val="003678B4"/>
    <w:rsid w:val="00420C27"/>
    <w:rsid w:val="004B3551"/>
    <w:rsid w:val="005B3C64"/>
    <w:rsid w:val="005B4D41"/>
    <w:rsid w:val="005D0092"/>
    <w:rsid w:val="00603DB2"/>
    <w:rsid w:val="00661552"/>
    <w:rsid w:val="00675C4A"/>
    <w:rsid w:val="006B616A"/>
    <w:rsid w:val="007A7385"/>
    <w:rsid w:val="007F1D6D"/>
    <w:rsid w:val="00865F2D"/>
    <w:rsid w:val="0087315B"/>
    <w:rsid w:val="0093728A"/>
    <w:rsid w:val="0094489E"/>
    <w:rsid w:val="0097537D"/>
    <w:rsid w:val="00A0293C"/>
    <w:rsid w:val="00A36355"/>
    <w:rsid w:val="00A66726"/>
    <w:rsid w:val="00AA2958"/>
    <w:rsid w:val="00BA081B"/>
    <w:rsid w:val="00BB2C0D"/>
    <w:rsid w:val="00BE194F"/>
    <w:rsid w:val="00C622FB"/>
    <w:rsid w:val="00CD1BC5"/>
    <w:rsid w:val="00DA3151"/>
    <w:rsid w:val="00DB580A"/>
    <w:rsid w:val="00DE7CF5"/>
    <w:rsid w:val="00E52B78"/>
    <w:rsid w:val="00E54FDD"/>
    <w:rsid w:val="00E55820"/>
    <w:rsid w:val="00EA5B7D"/>
    <w:rsid w:val="00F62581"/>
    <w:rsid w:val="00F74221"/>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AD4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8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89E"/>
    <w:pPr>
      <w:ind w:left="720"/>
      <w:contextualSpacing/>
    </w:pPr>
  </w:style>
  <w:style w:type="paragraph" w:styleId="BalloonText">
    <w:name w:val="Balloon Text"/>
    <w:basedOn w:val="Normal"/>
    <w:link w:val="BalloonTextChar"/>
    <w:uiPriority w:val="99"/>
    <w:semiHidden/>
    <w:unhideWhenUsed/>
    <w:rsid w:val="0094489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89E"/>
    <w:rPr>
      <w:rFonts w:ascii="Lucida Grande" w:hAnsi="Lucida Grande" w:cs="Lucida Grande"/>
      <w:sz w:val="18"/>
      <w:szCs w:val="18"/>
    </w:rPr>
  </w:style>
  <w:style w:type="character" w:styleId="Emphasis">
    <w:name w:val="Emphasis"/>
    <w:basedOn w:val="DefaultParagraphFont"/>
    <w:uiPriority w:val="20"/>
    <w:qFormat/>
    <w:rsid w:val="0094489E"/>
    <w:rPr>
      <w:i/>
      <w:iCs/>
    </w:rPr>
  </w:style>
  <w:style w:type="character" w:customStyle="1" w:styleId="apple-converted-space">
    <w:name w:val="apple-converted-space"/>
    <w:basedOn w:val="DefaultParagraphFont"/>
    <w:rsid w:val="0094489E"/>
  </w:style>
  <w:style w:type="character" w:styleId="CommentReference">
    <w:name w:val="annotation reference"/>
    <w:basedOn w:val="DefaultParagraphFont"/>
    <w:uiPriority w:val="99"/>
    <w:semiHidden/>
    <w:unhideWhenUsed/>
    <w:rsid w:val="0094489E"/>
    <w:rPr>
      <w:sz w:val="16"/>
      <w:szCs w:val="16"/>
    </w:rPr>
  </w:style>
  <w:style w:type="paragraph" w:styleId="CommentText">
    <w:name w:val="annotation text"/>
    <w:basedOn w:val="Normal"/>
    <w:link w:val="CommentTextChar"/>
    <w:uiPriority w:val="99"/>
    <w:unhideWhenUsed/>
    <w:rsid w:val="0094489E"/>
    <w:pPr>
      <w:spacing w:line="240" w:lineRule="auto"/>
    </w:pPr>
    <w:rPr>
      <w:sz w:val="20"/>
      <w:szCs w:val="20"/>
    </w:rPr>
  </w:style>
  <w:style w:type="character" w:customStyle="1" w:styleId="CommentTextChar">
    <w:name w:val="Comment Text Char"/>
    <w:basedOn w:val="DefaultParagraphFont"/>
    <w:link w:val="CommentText"/>
    <w:uiPriority w:val="99"/>
    <w:rsid w:val="0094489E"/>
    <w:rPr>
      <w:sz w:val="20"/>
      <w:szCs w:val="20"/>
    </w:rPr>
  </w:style>
  <w:style w:type="paragraph" w:styleId="CommentSubject">
    <w:name w:val="annotation subject"/>
    <w:basedOn w:val="CommentText"/>
    <w:next w:val="CommentText"/>
    <w:link w:val="CommentSubjectChar"/>
    <w:uiPriority w:val="99"/>
    <w:semiHidden/>
    <w:unhideWhenUsed/>
    <w:rsid w:val="0094489E"/>
    <w:rPr>
      <w:b/>
      <w:bCs/>
    </w:rPr>
  </w:style>
  <w:style w:type="character" w:customStyle="1" w:styleId="CommentSubjectChar">
    <w:name w:val="Comment Subject Char"/>
    <w:basedOn w:val="CommentTextChar"/>
    <w:link w:val="CommentSubject"/>
    <w:uiPriority w:val="99"/>
    <w:semiHidden/>
    <w:rsid w:val="0094489E"/>
    <w:rPr>
      <w:b/>
      <w:bCs/>
      <w:sz w:val="20"/>
      <w:szCs w:val="20"/>
    </w:rPr>
  </w:style>
  <w:style w:type="paragraph" w:styleId="Revision">
    <w:name w:val="Revision"/>
    <w:hidden/>
    <w:uiPriority w:val="99"/>
    <w:semiHidden/>
    <w:rsid w:val="0094489E"/>
    <w:pPr>
      <w:spacing w:after="0" w:line="240" w:lineRule="auto"/>
    </w:pPr>
  </w:style>
  <w:style w:type="paragraph" w:styleId="Header">
    <w:name w:val="header"/>
    <w:basedOn w:val="Normal"/>
    <w:link w:val="HeaderChar"/>
    <w:uiPriority w:val="99"/>
    <w:semiHidden/>
    <w:unhideWhenUsed/>
    <w:rsid w:val="009448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4489E"/>
  </w:style>
  <w:style w:type="paragraph" w:styleId="Footer">
    <w:name w:val="footer"/>
    <w:basedOn w:val="Normal"/>
    <w:link w:val="FooterChar"/>
    <w:uiPriority w:val="99"/>
    <w:semiHidden/>
    <w:unhideWhenUsed/>
    <w:rsid w:val="009448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489E"/>
  </w:style>
  <w:style w:type="character" w:customStyle="1" w:styleId="Normal1">
    <w:name w:val="Normal1"/>
    <w:basedOn w:val="DefaultParagraphFont"/>
    <w:uiPriority w:val="99"/>
    <w:rsid w:val="0025320D"/>
    <w:rPr>
      <w:rFonts w:cs="Times New Roman"/>
    </w:rPr>
  </w:style>
  <w:style w:type="character" w:customStyle="1" w:styleId="apple-style-span">
    <w:name w:val="apple-style-span"/>
    <w:basedOn w:val="DefaultParagraphFont"/>
    <w:rsid w:val="0093728A"/>
  </w:style>
  <w:style w:type="paragraph" w:styleId="Caption">
    <w:name w:val="caption"/>
    <w:basedOn w:val="Normal"/>
    <w:next w:val="Normal"/>
    <w:uiPriority w:val="35"/>
    <w:unhideWhenUsed/>
    <w:qFormat/>
    <w:rsid w:val="00F74221"/>
    <w:pPr>
      <w:spacing w:line="240" w:lineRule="auto"/>
    </w:pPr>
    <w:rPr>
      <w:rFonts w:ascii="Times" w:eastAsiaTheme="minorEastAsia" w:hAnsi="Times" w:cstheme="minorBidi"/>
      <w:b/>
      <w:bCs/>
      <w:color w:val="4F81BD" w:themeColor="accent1"/>
      <w:sz w:val="18"/>
      <w:szCs w:val="18"/>
    </w:rPr>
  </w:style>
  <w:style w:type="table" w:styleId="TableGrid">
    <w:name w:val="Table Grid"/>
    <w:basedOn w:val="TableNormal"/>
    <w:uiPriority w:val="59"/>
    <w:rsid w:val="00CD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8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89E"/>
    <w:pPr>
      <w:ind w:left="720"/>
      <w:contextualSpacing/>
    </w:pPr>
  </w:style>
  <w:style w:type="paragraph" w:styleId="BalloonText">
    <w:name w:val="Balloon Text"/>
    <w:basedOn w:val="Normal"/>
    <w:link w:val="BalloonTextChar"/>
    <w:uiPriority w:val="99"/>
    <w:semiHidden/>
    <w:unhideWhenUsed/>
    <w:rsid w:val="0094489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89E"/>
    <w:rPr>
      <w:rFonts w:ascii="Lucida Grande" w:hAnsi="Lucida Grande" w:cs="Lucida Grande"/>
      <w:sz w:val="18"/>
      <w:szCs w:val="18"/>
    </w:rPr>
  </w:style>
  <w:style w:type="character" w:styleId="Emphasis">
    <w:name w:val="Emphasis"/>
    <w:basedOn w:val="DefaultParagraphFont"/>
    <w:uiPriority w:val="20"/>
    <w:qFormat/>
    <w:rsid w:val="0094489E"/>
    <w:rPr>
      <w:i/>
      <w:iCs/>
    </w:rPr>
  </w:style>
  <w:style w:type="character" w:customStyle="1" w:styleId="apple-converted-space">
    <w:name w:val="apple-converted-space"/>
    <w:basedOn w:val="DefaultParagraphFont"/>
    <w:rsid w:val="0094489E"/>
  </w:style>
  <w:style w:type="character" w:styleId="CommentReference">
    <w:name w:val="annotation reference"/>
    <w:basedOn w:val="DefaultParagraphFont"/>
    <w:uiPriority w:val="99"/>
    <w:semiHidden/>
    <w:unhideWhenUsed/>
    <w:rsid w:val="0094489E"/>
    <w:rPr>
      <w:sz w:val="16"/>
      <w:szCs w:val="16"/>
    </w:rPr>
  </w:style>
  <w:style w:type="paragraph" w:styleId="CommentText">
    <w:name w:val="annotation text"/>
    <w:basedOn w:val="Normal"/>
    <w:link w:val="CommentTextChar"/>
    <w:uiPriority w:val="99"/>
    <w:unhideWhenUsed/>
    <w:rsid w:val="0094489E"/>
    <w:pPr>
      <w:spacing w:line="240" w:lineRule="auto"/>
    </w:pPr>
    <w:rPr>
      <w:sz w:val="20"/>
      <w:szCs w:val="20"/>
    </w:rPr>
  </w:style>
  <w:style w:type="character" w:customStyle="1" w:styleId="CommentTextChar">
    <w:name w:val="Comment Text Char"/>
    <w:basedOn w:val="DefaultParagraphFont"/>
    <w:link w:val="CommentText"/>
    <w:uiPriority w:val="99"/>
    <w:rsid w:val="0094489E"/>
    <w:rPr>
      <w:sz w:val="20"/>
      <w:szCs w:val="20"/>
    </w:rPr>
  </w:style>
  <w:style w:type="paragraph" w:styleId="CommentSubject">
    <w:name w:val="annotation subject"/>
    <w:basedOn w:val="CommentText"/>
    <w:next w:val="CommentText"/>
    <w:link w:val="CommentSubjectChar"/>
    <w:uiPriority w:val="99"/>
    <w:semiHidden/>
    <w:unhideWhenUsed/>
    <w:rsid w:val="0094489E"/>
    <w:rPr>
      <w:b/>
      <w:bCs/>
    </w:rPr>
  </w:style>
  <w:style w:type="character" w:customStyle="1" w:styleId="CommentSubjectChar">
    <w:name w:val="Comment Subject Char"/>
    <w:basedOn w:val="CommentTextChar"/>
    <w:link w:val="CommentSubject"/>
    <w:uiPriority w:val="99"/>
    <w:semiHidden/>
    <w:rsid w:val="0094489E"/>
    <w:rPr>
      <w:b/>
      <w:bCs/>
      <w:sz w:val="20"/>
      <w:szCs w:val="20"/>
    </w:rPr>
  </w:style>
  <w:style w:type="paragraph" w:styleId="Revision">
    <w:name w:val="Revision"/>
    <w:hidden/>
    <w:uiPriority w:val="99"/>
    <w:semiHidden/>
    <w:rsid w:val="0094489E"/>
    <w:pPr>
      <w:spacing w:after="0" w:line="240" w:lineRule="auto"/>
    </w:pPr>
  </w:style>
  <w:style w:type="paragraph" w:styleId="Header">
    <w:name w:val="header"/>
    <w:basedOn w:val="Normal"/>
    <w:link w:val="HeaderChar"/>
    <w:uiPriority w:val="99"/>
    <w:semiHidden/>
    <w:unhideWhenUsed/>
    <w:rsid w:val="009448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4489E"/>
  </w:style>
  <w:style w:type="paragraph" w:styleId="Footer">
    <w:name w:val="footer"/>
    <w:basedOn w:val="Normal"/>
    <w:link w:val="FooterChar"/>
    <w:uiPriority w:val="99"/>
    <w:semiHidden/>
    <w:unhideWhenUsed/>
    <w:rsid w:val="009448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489E"/>
  </w:style>
  <w:style w:type="character" w:customStyle="1" w:styleId="Normal1">
    <w:name w:val="Normal1"/>
    <w:basedOn w:val="DefaultParagraphFont"/>
    <w:uiPriority w:val="99"/>
    <w:rsid w:val="0025320D"/>
    <w:rPr>
      <w:rFonts w:cs="Times New Roman"/>
    </w:rPr>
  </w:style>
  <w:style w:type="character" w:customStyle="1" w:styleId="apple-style-span">
    <w:name w:val="apple-style-span"/>
    <w:basedOn w:val="DefaultParagraphFont"/>
    <w:rsid w:val="0093728A"/>
  </w:style>
  <w:style w:type="paragraph" w:styleId="Caption">
    <w:name w:val="caption"/>
    <w:basedOn w:val="Normal"/>
    <w:next w:val="Normal"/>
    <w:uiPriority w:val="35"/>
    <w:unhideWhenUsed/>
    <w:qFormat/>
    <w:rsid w:val="00F74221"/>
    <w:pPr>
      <w:spacing w:line="240" w:lineRule="auto"/>
    </w:pPr>
    <w:rPr>
      <w:rFonts w:ascii="Times" w:eastAsiaTheme="minorEastAsia" w:hAnsi="Times" w:cstheme="minorBidi"/>
      <w:b/>
      <w:bCs/>
      <w:color w:val="4F81BD" w:themeColor="accent1"/>
      <w:sz w:val="18"/>
      <w:szCs w:val="18"/>
    </w:rPr>
  </w:style>
  <w:style w:type="table" w:styleId="TableGrid">
    <w:name w:val="Table Grid"/>
    <w:basedOn w:val="TableNormal"/>
    <w:uiPriority w:val="59"/>
    <w:rsid w:val="00CD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6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3.tiff"/><Relationship Id="rId21" Type="http://schemas.openxmlformats.org/officeDocument/2006/relationships/image" Target="media/image14.png"/><Relationship Id="rId22" Type="http://schemas.openxmlformats.org/officeDocument/2006/relationships/image" Target="media/image15.tif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tif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tiff"/><Relationship Id="rId18" Type="http://schemas.openxmlformats.org/officeDocument/2006/relationships/image" Target="media/image11.tiff"/><Relationship Id="rId19" Type="http://schemas.openxmlformats.org/officeDocument/2006/relationships/image" Target="media/image12.tif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26</Pages>
  <Words>3330</Words>
  <Characters>18985</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Burnham Institute for Medical Research</Company>
  <LinksUpToDate>false</LinksUpToDate>
  <CharactersWithSpaces>22271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stiziani</dc:creator>
  <cp:lastModifiedBy>Information Technology</cp:lastModifiedBy>
  <cp:revision>15</cp:revision>
  <dcterms:created xsi:type="dcterms:W3CDTF">2013-09-06T03:29:00Z</dcterms:created>
  <dcterms:modified xsi:type="dcterms:W3CDTF">2013-11-06T00:45:00Z</dcterms:modified>
</cp:coreProperties>
</file>