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88" w:rsidRPr="00E7202C" w:rsidRDefault="005F2B88" w:rsidP="00E7202C">
      <w:pPr>
        <w:widowControl w:val="0"/>
        <w:autoSpaceDE w:val="0"/>
        <w:autoSpaceDN w:val="0"/>
        <w:adjustRightInd w:val="0"/>
        <w:spacing w:after="0" w:line="360" w:lineRule="auto"/>
        <w:rPr>
          <w:rFonts w:asciiTheme="minorHAnsi" w:hAnsiTheme="minorHAnsi" w:cs="Arial"/>
          <w:sz w:val="24"/>
          <w:szCs w:val="24"/>
        </w:rPr>
      </w:pPr>
      <w:r w:rsidRPr="00E7202C">
        <w:rPr>
          <w:rFonts w:asciiTheme="minorHAnsi" w:hAnsiTheme="minorHAnsi"/>
          <w:sz w:val="24"/>
          <w:szCs w:val="24"/>
        </w:rPr>
        <w:t xml:space="preserve">Table S2. </w:t>
      </w:r>
      <w:proofErr w:type="gramStart"/>
      <w:r w:rsidRPr="00E7202C">
        <w:rPr>
          <w:rFonts w:asciiTheme="minorHAnsi" w:hAnsiTheme="minorHAnsi"/>
          <w:sz w:val="24"/>
          <w:szCs w:val="24"/>
        </w:rPr>
        <w:t xml:space="preserve">Model selection </w:t>
      </w:r>
      <w:r w:rsidR="00B2256B" w:rsidRPr="00E7202C">
        <w:rPr>
          <w:rFonts w:asciiTheme="minorHAnsi" w:hAnsiTheme="minorHAnsi"/>
          <w:sz w:val="24"/>
          <w:szCs w:val="24"/>
        </w:rPr>
        <w:t xml:space="preserve">for Experiment 2 </w:t>
      </w:r>
      <w:r w:rsidRPr="00E7202C">
        <w:rPr>
          <w:rFonts w:asciiTheme="minorHAnsi" w:hAnsiTheme="minorHAnsi"/>
          <w:sz w:val="24"/>
          <w:szCs w:val="24"/>
        </w:rPr>
        <w:t>using AICs.</w:t>
      </w:r>
      <w:proofErr w:type="gramEnd"/>
      <w:r w:rsidRPr="00E7202C">
        <w:rPr>
          <w:rFonts w:asciiTheme="minorHAnsi" w:hAnsiTheme="minorHAnsi"/>
          <w:sz w:val="24"/>
          <w:szCs w:val="24"/>
        </w:rPr>
        <w:t xml:space="preserve"> </w:t>
      </w:r>
    </w:p>
    <w:tbl>
      <w:tblPr>
        <w:tblW w:w="9224" w:type="dxa"/>
        <w:tblInd w:w="45" w:type="dxa"/>
        <w:tblBorders>
          <w:top w:val="single" w:sz="2" w:space="0" w:color="000000"/>
          <w:bottom w:val="single" w:sz="2" w:space="0" w:color="000000"/>
        </w:tblBorders>
        <w:tblLayout w:type="fixed"/>
        <w:tblCellMar>
          <w:left w:w="10" w:type="dxa"/>
          <w:right w:w="10" w:type="dxa"/>
        </w:tblCellMar>
        <w:tblLook w:val="0000" w:firstRow="0" w:lastRow="0" w:firstColumn="0" w:lastColumn="0" w:noHBand="0" w:noVBand="0"/>
      </w:tblPr>
      <w:tblGrid>
        <w:gridCol w:w="1223"/>
        <w:gridCol w:w="1214"/>
        <w:gridCol w:w="1259"/>
        <w:gridCol w:w="1417"/>
        <w:gridCol w:w="1276"/>
        <w:gridCol w:w="1276"/>
        <w:gridCol w:w="1559"/>
      </w:tblGrid>
      <w:tr w:rsidR="00203A4E" w:rsidRPr="00E7202C" w:rsidTr="00E7202C">
        <w:trPr>
          <w:trHeight w:val="275"/>
        </w:trPr>
        <w:tc>
          <w:tcPr>
            <w:tcW w:w="1223" w:type="dxa"/>
            <w:tcBorders>
              <w:top w:val="nil"/>
              <w:bottom w:val="single" w:sz="4" w:space="0" w:color="auto"/>
            </w:tcBorders>
            <w:tcMar>
              <w:top w:w="55" w:type="dxa"/>
              <w:left w:w="55" w:type="dxa"/>
              <w:bottom w:w="55" w:type="dxa"/>
              <w:right w:w="55" w:type="dxa"/>
            </w:tcMar>
          </w:tcPr>
          <w:p w:rsidR="00203A4E" w:rsidRPr="00E7202C" w:rsidRDefault="00203A4E" w:rsidP="00E7202C">
            <w:pPr>
              <w:pStyle w:val="TableContents"/>
              <w:spacing w:line="360" w:lineRule="auto"/>
              <w:rPr>
                <w:rFonts w:asciiTheme="minorHAnsi" w:hAnsiTheme="minorHAnsi"/>
              </w:rPr>
            </w:pPr>
            <w:r w:rsidRPr="00E7202C">
              <w:rPr>
                <w:rFonts w:asciiTheme="minorHAnsi" w:hAnsiTheme="minorHAnsi"/>
              </w:rPr>
              <w:t>Location</w:t>
            </w:r>
          </w:p>
        </w:tc>
        <w:tc>
          <w:tcPr>
            <w:tcW w:w="1214" w:type="dxa"/>
            <w:tcBorders>
              <w:top w:val="nil"/>
              <w:bottom w:val="single" w:sz="4" w:space="0" w:color="auto"/>
            </w:tcBorders>
            <w:tcMar>
              <w:top w:w="55" w:type="dxa"/>
              <w:left w:w="55" w:type="dxa"/>
              <w:bottom w:w="55" w:type="dxa"/>
              <w:right w:w="55" w:type="dxa"/>
            </w:tcMar>
          </w:tcPr>
          <w:p w:rsidR="00203A4E" w:rsidRPr="00E7202C" w:rsidRDefault="00203A4E" w:rsidP="00E7202C">
            <w:pPr>
              <w:pStyle w:val="TableContents"/>
              <w:spacing w:line="360" w:lineRule="auto"/>
              <w:rPr>
                <w:rFonts w:asciiTheme="minorHAnsi" w:hAnsiTheme="minorHAnsi"/>
              </w:rPr>
            </w:pPr>
            <w:r w:rsidRPr="00E7202C">
              <w:rPr>
                <w:rFonts w:asciiTheme="minorHAnsi" w:hAnsiTheme="minorHAnsi"/>
              </w:rPr>
              <w:t>Shape</w:t>
            </w:r>
          </w:p>
        </w:tc>
        <w:tc>
          <w:tcPr>
            <w:tcW w:w="1259" w:type="dxa"/>
            <w:tcBorders>
              <w:top w:val="nil"/>
              <w:bottom w:val="single" w:sz="4" w:space="0" w:color="auto"/>
            </w:tcBorders>
            <w:tcMar>
              <w:top w:w="55" w:type="dxa"/>
              <w:left w:w="55" w:type="dxa"/>
              <w:bottom w:w="55" w:type="dxa"/>
              <w:right w:w="55" w:type="dxa"/>
            </w:tcMar>
          </w:tcPr>
          <w:p w:rsidR="00203A4E" w:rsidRPr="00E7202C" w:rsidRDefault="00203A4E" w:rsidP="00E7202C">
            <w:pPr>
              <w:pStyle w:val="TableContents"/>
              <w:spacing w:line="360" w:lineRule="auto"/>
              <w:rPr>
                <w:rFonts w:asciiTheme="minorHAnsi" w:hAnsiTheme="minorHAnsi"/>
              </w:rPr>
            </w:pPr>
            <w:proofErr w:type="spellStart"/>
            <w:r w:rsidRPr="00E7202C">
              <w:rPr>
                <w:rFonts w:asciiTheme="minorHAnsi" w:hAnsiTheme="minorHAnsi"/>
              </w:rPr>
              <w:t>Lapserate</w:t>
            </w:r>
            <w:proofErr w:type="spellEnd"/>
          </w:p>
        </w:tc>
        <w:tc>
          <w:tcPr>
            <w:tcW w:w="1417" w:type="dxa"/>
            <w:tcBorders>
              <w:top w:val="nil"/>
              <w:bottom w:val="single" w:sz="4" w:space="0" w:color="auto"/>
            </w:tcBorders>
            <w:tcMar>
              <w:top w:w="55" w:type="dxa"/>
              <w:left w:w="55" w:type="dxa"/>
              <w:bottom w:w="55" w:type="dxa"/>
              <w:right w:w="55" w:type="dxa"/>
            </w:tcMar>
          </w:tcPr>
          <w:p w:rsidR="00203A4E" w:rsidRPr="00E7202C" w:rsidRDefault="00203A4E" w:rsidP="00E7202C">
            <w:pPr>
              <w:pStyle w:val="TableContents"/>
              <w:spacing w:line="360" w:lineRule="auto"/>
              <w:rPr>
                <w:rFonts w:asciiTheme="minorHAnsi" w:hAnsiTheme="minorHAnsi"/>
              </w:rPr>
            </w:pPr>
            <w:proofErr w:type="spellStart"/>
            <w:r w:rsidRPr="00E7202C">
              <w:rPr>
                <w:rFonts w:asciiTheme="minorHAnsi" w:hAnsiTheme="minorHAnsi"/>
              </w:rPr>
              <w:t>ΔAIC</w:t>
            </w:r>
            <w:r w:rsidR="00E7202C">
              <w:rPr>
                <w:rFonts w:asciiTheme="minorHAnsi" w:hAnsiTheme="minorHAnsi"/>
                <w:vertAlign w:val="subscript"/>
              </w:rPr>
              <w:t>Single</w:t>
            </w:r>
            <w:proofErr w:type="spellEnd"/>
          </w:p>
        </w:tc>
        <w:tc>
          <w:tcPr>
            <w:tcW w:w="1276" w:type="dxa"/>
            <w:tcBorders>
              <w:top w:val="nil"/>
              <w:bottom w:val="single" w:sz="4" w:space="0" w:color="auto"/>
            </w:tcBorders>
            <w:tcMar>
              <w:top w:w="55" w:type="dxa"/>
              <w:left w:w="55" w:type="dxa"/>
              <w:bottom w:w="55" w:type="dxa"/>
              <w:right w:w="55" w:type="dxa"/>
            </w:tcMar>
          </w:tcPr>
          <w:p w:rsidR="00203A4E" w:rsidRPr="00E7202C" w:rsidRDefault="00203A4E" w:rsidP="00E7202C">
            <w:pPr>
              <w:pStyle w:val="TableContents"/>
              <w:spacing w:line="360" w:lineRule="auto"/>
              <w:rPr>
                <w:rFonts w:asciiTheme="minorHAnsi" w:hAnsiTheme="minorHAnsi"/>
              </w:rPr>
            </w:pPr>
            <w:proofErr w:type="spellStart"/>
            <w:r w:rsidRPr="00E7202C">
              <w:rPr>
                <w:rFonts w:asciiTheme="minorHAnsi" w:hAnsiTheme="minorHAnsi"/>
              </w:rPr>
              <w:t>ΔAIC</w:t>
            </w:r>
            <w:r w:rsidR="00E7202C">
              <w:rPr>
                <w:rFonts w:asciiTheme="minorHAnsi" w:hAnsiTheme="minorHAnsi"/>
                <w:vertAlign w:val="subscript"/>
              </w:rPr>
              <w:t>Free</w:t>
            </w:r>
            <w:proofErr w:type="spellEnd"/>
          </w:p>
        </w:tc>
        <w:tc>
          <w:tcPr>
            <w:tcW w:w="1276" w:type="dxa"/>
            <w:tcBorders>
              <w:top w:val="nil"/>
              <w:bottom w:val="single" w:sz="4" w:space="0" w:color="auto"/>
            </w:tcBorders>
            <w:tcMar>
              <w:top w:w="55" w:type="dxa"/>
              <w:left w:w="55" w:type="dxa"/>
              <w:bottom w:w="55" w:type="dxa"/>
              <w:right w:w="55" w:type="dxa"/>
            </w:tcMar>
          </w:tcPr>
          <w:p w:rsidR="00203A4E" w:rsidRPr="00E7202C" w:rsidRDefault="00203A4E" w:rsidP="00E7202C">
            <w:pPr>
              <w:pStyle w:val="TableContents"/>
              <w:spacing w:line="360" w:lineRule="auto"/>
              <w:rPr>
                <w:rFonts w:asciiTheme="minorHAnsi" w:hAnsiTheme="minorHAnsi"/>
              </w:rPr>
            </w:pPr>
            <w:proofErr w:type="spellStart"/>
            <w:r w:rsidRPr="00E7202C">
              <w:rPr>
                <w:rFonts w:asciiTheme="minorHAnsi" w:hAnsiTheme="minorHAnsi"/>
              </w:rPr>
              <w:t>ΔAIC</w:t>
            </w:r>
            <w:r w:rsidR="00E7202C">
              <w:rPr>
                <w:rFonts w:asciiTheme="minorHAnsi" w:hAnsiTheme="minorHAnsi"/>
                <w:vertAlign w:val="subscript"/>
              </w:rPr>
              <w:t>Combined</w:t>
            </w:r>
            <w:proofErr w:type="spellEnd"/>
          </w:p>
        </w:tc>
        <w:tc>
          <w:tcPr>
            <w:tcW w:w="1559" w:type="dxa"/>
            <w:tcBorders>
              <w:top w:val="nil"/>
              <w:bottom w:val="single" w:sz="4" w:space="0" w:color="auto"/>
            </w:tcBorders>
            <w:tcMar>
              <w:top w:w="55" w:type="dxa"/>
              <w:left w:w="55" w:type="dxa"/>
              <w:bottom w:w="55" w:type="dxa"/>
              <w:right w:w="55" w:type="dxa"/>
            </w:tcMar>
          </w:tcPr>
          <w:p w:rsidR="00203A4E" w:rsidRPr="00E7202C" w:rsidRDefault="00203A4E" w:rsidP="00E7202C">
            <w:pPr>
              <w:pStyle w:val="TableContents"/>
              <w:spacing w:line="360" w:lineRule="auto"/>
              <w:rPr>
                <w:rFonts w:asciiTheme="minorHAnsi" w:hAnsiTheme="minorHAnsi"/>
              </w:rPr>
            </w:pPr>
            <w:r w:rsidRPr="00E7202C">
              <w:rPr>
                <w:rFonts w:asciiTheme="minorHAnsi" w:hAnsiTheme="minorHAnsi"/>
                <w:i/>
                <w:iCs/>
              </w:rPr>
              <w:t>w</w:t>
            </w:r>
            <w:r w:rsidRPr="00E7202C">
              <w:rPr>
                <w:rFonts w:asciiTheme="minorHAnsi" w:hAnsiTheme="minorHAnsi"/>
              </w:rPr>
              <w:t>(</w:t>
            </w:r>
            <w:proofErr w:type="spellStart"/>
            <w:r w:rsidRPr="00E7202C">
              <w:rPr>
                <w:rFonts w:asciiTheme="minorHAnsi" w:hAnsiTheme="minorHAnsi"/>
              </w:rPr>
              <w:t>ΔAIC</w:t>
            </w:r>
            <w:r w:rsidR="00E7202C">
              <w:rPr>
                <w:rFonts w:asciiTheme="minorHAnsi" w:hAnsiTheme="minorHAnsi"/>
                <w:vertAlign w:val="subscript"/>
              </w:rPr>
              <w:t>Combined</w:t>
            </w:r>
            <w:proofErr w:type="spellEnd"/>
            <w:r w:rsidRPr="00E7202C">
              <w:rPr>
                <w:rFonts w:asciiTheme="minorHAnsi" w:hAnsiTheme="minorHAnsi"/>
              </w:rPr>
              <w:t>)</w:t>
            </w:r>
          </w:p>
        </w:tc>
      </w:tr>
      <w:tr w:rsidR="00203A4E" w:rsidRPr="00E7202C" w:rsidTr="00E7202C">
        <w:trPr>
          <w:trHeight w:val="275"/>
        </w:trPr>
        <w:tc>
          <w:tcPr>
            <w:tcW w:w="1223" w:type="dxa"/>
            <w:tcBorders>
              <w:top w:val="single" w:sz="4" w:space="0" w:color="auto"/>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p>
        </w:tc>
        <w:tc>
          <w:tcPr>
            <w:tcW w:w="1214" w:type="dxa"/>
            <w:tcBorders>
              <w:top w:val="single" w:sz="4" w:space="0" w:color="auto"/>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w:t>
            </w:r>
          </w:p>
        </w:tc>
        <w:tc>
          <w:tcPr>
            <w:tcW w:w="1259" w:type="dxa"/>
            <w:tcBorders>
              <w:top w:val="single" w:sz="4" w:space="0" w:color="auto"/>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w:t>
            </w:r>
          </w:p>
        </w:tc>
        <w:tc>
          <w:tcPr>
            <w:tcW w:w="1417" w:type="dxa"/>
            <w:tcBorders>
              <w:top w:val="single" w:sz="4" w:space="0" w:color="auto"/>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36.7</w:t>
            </w:r>
          </w:p>
        </w:tc>
        <w:tc>
          <w:tcPr>
            <w:tcW w:w="1276" w:type="dxa"/>
            <w:tcBorders>
              <w:top w:val="single" w:sz="4" w:space="0" w:color="auto"/>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115</w:t>
            </w:r>
          </w:p>
        </w:tc>
        <w:tc>
          <w:tcPr>
            <w:tcW w:w="1276" w:type="dxa"/>
            <w:tcBorders>
              <w:top w:val="single" w:sz="4" w:space="0" w:color="auto"/>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152</w:t>
            </w:r>
          </w:p>
        </w:tc>
        <w:tc>
          <w:tcPr>
            <w:tcW w:w="1559" w:type="dxa"/>
            <w:tcBorders>
              <w:top w:val="single" w:sz="4" w:space="0" w:color="auto"/>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bookmarkStart w:id="0" w:name="__DdeLink__5452_1763505319"/>
            <w:r w:rsidRPr="00E7202C">
              <w:rPr>
                <w:rFonts w:asciiTheme="minorHAnsi" w:hAnsiTheme="minorHAnsi"/>
              </w:rPr>
              <w:t>.</w:t>
            </w:r>
            <w:bookmarkEnd w:id="0"/>
            <w:r w:rsidRPr="00E7202C">
              <w:rPr>
                <w:rFonts w:asciiTheme="minorHAnsi" w:hAnsiTheme="minorHAnsi"/>
              </w:rPr>
              <w:t>000</w:t>
            </w:r>
          </w:p>
        </w:tc>
      </w:tr>
      <w:tr w:rsidR="00203A4E" w:rsidRPr="00E7202C" w:rsidTr="00E7202C">
        <w:trPr>
          <w:trHeight w:val="275"/>
        </w:trPr>
        <w:tc>
          <w:tcPr>
            <w:tcW w:w="1223"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p>
        </w:tc>
        <w:tc>
          <w:tcPr>
            <w:tcW w:w="1214"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w:t>
            </w:r>
          </w:p>
        </w:tc>
        <w:tc>
          <w:tcPr>
            <w:tcW w:w="12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w:t>
            </w:r>
          </w:p>
        </w:tc>
        <w:tc>
          <w:tcPr>
            <w:tcW w:w="1417"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1.11</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55.5</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56.6</w:t>
            </w:r>
          </w:p>
        </w:tc>
        <w:tc>
          <w:tcPr>
            <w:tcW w:w="15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.000</w:t>
            </w:r>
          </w:p>
        </w:tc>
      </w:tr>
      <w:tr w:rsidR="00203A4E" w:rsidRPr="00E7202C" w:rsidTr="00E7202C">
        <w:trPr>
          <w:trHeight w:val="275"/>
        </w:trPr>
        <w:tc>
          <w:tcPr>
            <w:tcW w:w="1223"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p>
        </w:tc>
        <w:tc>
          <w:tcPr>
            <w:tcW w:w="1214"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w:t>
            </w:r>
          </w:p>
        </w:tc>
        <w:tc>
          <w:tcPr>
            <w:tcW w:w="12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w:t>
            </w:r>
          </w:p>
        </w:tc>
        <w:tc>
          <w:tcPr>
            <w:tcW w:w="1417"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46.1</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188</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234</w:t>
            </w:r>
          </w:p>
        </w:tc>
        <w:tc>
          <w:tcPr>
            <w:tcW w:w="15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.000</w:t>
            </w:r>
          </w:p>
        </w:tc>
      </w:tr>
      <w:tr w:rsidR="00203A4E" w:rsidRPr="00E7202C" w:rsidTr="00E7202C">
        <w:trPr>
          <w:trHeight w:val="262"/>
        </w:trPr>
        <w:tc>
          <w:tcPr>
            <w:tcW w:w="1223"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p>
        </w:tc>
        <w:tc>
          <w:tcPr>
            <w:tcW w:w="1214"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w:t>
            </w:r>
          </w:p>
        </w:tc>
        <w:tc>
          <w:tcPr>
            <w:tcW w:w="12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w:t>
            </w:r>
          </w:p>
        </w:tc>
        <w:tc>
          <w:tcPr>
            <w:tcW w:w="1417"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27.0</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58.4</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85.4</w:t>
            </w:r>
          </w:p>
        </w:tc>
        <w:tc>
          <w:tcPr>
            <w:tcW w:w="15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.000</w:t>
            </w:r>
          </w:p>
        </w:tc>
      </w:tr>
      <w:tr w:rsidR="00203A4E" w:rsidRPr="00E7202C" w:rsidTr="00E7202C">
        <w:trPr>
          <w:trHeight w:val="275"/>
        </w:trPr>
        <w:tc>
          <w:tcPr>
            <w:tcW w:w="1223"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p>
        </w:tc>
        <w:tc>
          <w:tcPr>
            <w:tcW w:w="1214"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w:t>
            </w:r>
          </w:p>
        </w:tc>
        <w:tc>
          <w:tcPr>
            <w:tcW w:w="12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p>
        </w:tc>
        <w:tc>
          <w:tcPr>
            <w:tcW w:w="1417"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35.9</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159</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195</w:t>
            </w:r>
          </w:p>
        </w:tc>
        <w:tc>
          <w:tcPr>
            <w:tcW w:w="15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.000</w:t>
            </w:r>
          </w:p>
        </w:tc>
      </w:tr>
      <w:tr w:rsidR="00203A4E" w:rsidRPr="00E7202C" w:rsidTr="00E7202C">
        <w:trPr>
          <w:trHeight w:val="275"/>
        </w:trPr>
        <w:tc>
          <w:tcPr>
            <w:tcW w:w="1223"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p>
        </w:tc>
        <w:tc>
          <w:tcPr>
            <w:tcW w:w="1214"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w:t>
            </w:r>
          </w:p>
        </w:tc>
        <w:tc>
          <w:tcPr>
            <w:tcW w:w="12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p>
        </w:tc>
        <w:tc>
          <w:tcPr>
            <w:tcW w:w="1417"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2.73</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107</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110</w:t>
            </w:r>
          </w:p>
        </w:tc>
        <w:tc>
          <w:tcPr>
            <w:tcW w:w="15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.000</w:t>
            </w:r>
          </w:p>
        </w:tc>
      </w:tr>
      <w:tr w:rsidR="00203A4E" w:rsidRPr="00E7202C" w:rsidTr="00E7202C">
        <w:trPr>
          <w:trHeight w:val="275"/>
        </w:trPr>
        <w:tc>
          <w:tcPr>
            <w:tcW w:w="1223"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w:t>
            </w:r>
          </w:p>
        </w:tc>
        <w:tc>
          <w:tcPr>
            <w:tcW w:w="1214"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w:t>
            </w:r>
          </w:p>
        </w:tc>
        <w:tc>
          <w:tcPr>
            <w:tcW w:w="12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w:t>
            </w:r>
          </w:p>
        </w:tc>
        <w:tc>
          <w:tcPr>
            <w:tcW w:w="1417"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36.9</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112</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149</w:t>
            </w:r>
          </w:p>
        </w:tc>
        <w:tc>
          <w:tcPr>
            <w:tcW w:w="15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.000</w:t>
            </w:r>
          </w:p>
        </w:tc>
      </w:tr>
      <w:tr w:rsidR="00203A4E" w:rsidRPr="00E7202C" w:rsidTr="00E7202C">
        <w:trPr>
          <w:trHeight w:val="275"/>
        </w:trPr>
        <w:tc>
          <w:tcPr>
            <w:tcW w:w="1223"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w:t>
            </w:r>
          </w:p>
        </w:tc>
        <w:tc>
          <w:tcPr>
            <w:tcW w:w="1214"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w:t>
            </w:r>
          </w:p>
        </w:tc>
        <w:tc>
          <w:tcPr>
            <w:tcW w:w="12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w:t>
            </w:r>
          </w:p>
        </w:tc>
        <w:tc>
          <w:tcPr>
            <w:tcW w:w="1417"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2.08</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1.58</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3.67</w:t>
            </w:r>
          </w:p>
        </w:tc>
        <w:tc>
          <w:tcPr>
            <w:tcW w:w="15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.138</w:t>
            </w:r>
          </w:p>
        </w:tc>
      </w:tr>
      <w:tr w:rsidR="00203A4E" w:rsidRPr="00E7202C" w:rsidTr="00E7202C">
        <w:trPr>
          <w:trHeight w:val="275"/>
        </w:trPr>
        <w:tc>
          <w:tcPr>
            <w:tcW w:w="1223"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w:t>
            </w:r>
          </w:p>
        </w:tc>
        <w:tc>
          <w:tcPr>
            <w:tcW w:w="1214"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w:t>
            </w:r>
          </w:p>
        </w:tc>
        <w:tc>
          <w:tcPr>
            <w:tcW w:w="12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w:t>
            </w:r>
          </w:p>
        </w:tc>
        <w:tc>
          <w:tcPr>
            <w:tcW w:w="1417"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31.5</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74.2</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106</w:t>
            </w:r>
          </w:p>
        </w:tc>
        <w:tc>
          <w:tcPr>
            <w:tcW w:w="15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.000</w:t>
            </w:r>
          </w:p>
        </w:tc>
      </w:tr>
      <w:tr w:rsidR="00203A4E" w:rsidRPr="00E7202C" w:rsidTr="00E7202C">
        <w:trPr>
          <w:trHeight w:val="275"/>
        </w:trPr>
        <w:tc>
          <w:tcPr>
            <w:tcW w:w="1223"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w:t>
            </w:r>
          </w:p>
        </w:tc>
        <w:tc>
          <w:tcPr>
            <w:tcW w:w="1214"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w:t>
            </w:r>
          </w:p>
        </w:tc>
        <w:tc>
          <w:tcPr>
            <w:tcW w:w="12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w:t>
            </w:r>
          </w:p>
        </w:tc>
        <w:tc>
          <w:tcPr>
            <w:tcW w:w="1417"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65.4</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94.0</w:t>
            </w:r>
          </w:p>
        </w:tc>
        <w:tc>
          <w:tcPr>
            <w:tcW w:w="1276"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159</w:t>
            </w:r>
          </w:p>
        </w:tc>
        <w:tc>
          <w:tcPr>
            <w:tcW w:w="1559" w:type="dxa"/>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.000</w:t>
            </w:r>
          </w:p>
        </w:tc>
      </w:tr>
      <w:tr w:rsidR="00203A4E" w:rsidRPr="00E7202C" w:rsidTr="00E7202C">
        <w:trPr>
          <w:trHeight w:val="275"/>
        </w:trPr>
        <w:tc>
          <w:tcPr>
            <w:tcW w:w="1223" w:type="dxa"/>
            <w:tcBorders>
              <w:bottom w:val="nil"/>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w:t>
            </w:r>
          </w:p>
        </w:tc>
        <w:tc>
          <w:tcPr>
            <w:tcW w:w="1214" w:type="dxa"/>
            <w:tcBorders>
              <w:bottom w:val="nil"/>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w:t>
            </w:r>
          </w:p>
        </w:tc>
        <w:tc>
          <w:tcPr>
            <w:tcW w:w="1259" w:type="dxa"/>
            <w:tcBorders>
              <w:bottom w:val="nil"/>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w:t>
            </w:r>
          </w:p>
        </w:tc>
        <w:tc>
          <w:tcPr>
            <w:tcW w:w="1417" w:type="dxa"/>
            <w:tcBorders>
              <w:bottom w:val="nil"/>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9.66</w:t>
            </w:r>
          </w:p>
        </w:tc>
        <w:tc>
          <w:tcPr>
            <w:tcW w:w="1276" w:type="dxa"/>
            <w:tcBorders>
              <w:bottom w:val="nil"/>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12.6</w:t>
            </w:r>
          </w:p>
        </w:tc>
        <w:tc>
          <w:tcPr>
            <w:tcW w:w="1276" w:type="dxa"/>
            <w:tcBorders>
              <w:bottom w:val="nil"/>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22.3</w:t>
            </w:r>
          </w:p>
        </w:tc>
        <w:tc>
          <w:tcPr>
            <w:tcW w:w="1559" w:type="dxa"/>
            <w:tcBorders>
              <w:bottom w:val="nil"/>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.000</w:t>
            </w:r>
          </w:p>
        </w:tc>
      </w:tr>
      <w:tr w:rsidR="00203A4E" w:rsidRPr="00E7202C" w:rsidTr="007C4846">
        <w:trPr>
          <w:trHeight w:val="275"/>
        </w:trPr>
        <w:tc>
          <w:tcPr>
            <w:tcW w:w="1223" w:type="dxa"/>
            <w:tcBorders>
              <w:top w:val="nil"/>
              <w:bottom w:val="nil"/>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w:t>
            </w:r>
          </w:p>
        </w:tc>
        <w:tc>
          <w:tcPr>
            <w:tcW w:w="1214" w:type="dxa"/>
            <w:tcBorders>
              <w:top w:val="nil"/>
              <w:bottom w:val="nil"/>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w:t>
            </w:r>
          </w:p>
        </w:tc>
        <w:tc>
          <w:tcPr>
            <w:tcW w:w="1259" w:type="dxa"/>
            <w:tcBorders>
              <w:top w:val="nil"/>
              <w:bottom w:val="nil"/>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1</w:t>
            </w:r>
          </w:p>
        </w:tc>
        <w:tc>
          <w:tcPr>
            <w:tcW w:w="1417" w:type="dxa"/>
            <w:tcBorders>
              <w:top w:val="nil"/>
              <w:bottom w:val="nil"/>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30.3</w:t>
            </w:r>
          </w:p>
        </w:tc>
        <w:tc>
          <w:tcPr>
            <w:tcW w:w="1276" w:type="dxa"/>
            <w:tcBorders>
              <w:top w:val="nil"/>
              <w:bottom w:val="nil"/>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28.1</w:t>
            </w:r>
          </w:p>
        </w:tc>
        <w:tc>
          <w:tcPr>
            <w:tcW w:w="1276" w:type="dxa"/>
            <w:tcBorders>
              <w:top w:val="nil"/>
              <w:bottom w:val="nil"/>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58.4</w:t>
            </w:r>
          </w:p>
        </w:tc>
        <w:tc>
          <w:tcPr>
            <w:tcW w:w="1559" w:type="dxa"/>
            <w:tcBorders>
              <w:top w:val="nil"/>
              <w:bottom w:val="nil"/>
            </w:tcBorders>
            <w:tcMar>
              <w:top w:w="55" w:type="dxa"/>
              <w:left w:w="55" w:type="dxa"/>
              <w:bottom w:w="55" w:type="dxa"/>
              <w:right w:w="55" w:type="dxa"/>
            </w:tcMar>
          </w:tcPr>
          <w:p w:rsidR="00203A4E" w:rsidRPr="00E7202C" w:rsidRDefault="00203A4E" w:rsidP="00AF03BC">
            <w:pPr>
              <w:pStyle w:val="TableContents"/>
              <w:spacing w:line="276" w:lineRule="auto"/>
              <w:contextualSpacing/>
              <w:rPr>
                <w:rFonts w:asciiTheme="minorHAnsi" w:hAnsiTheme="minorHAnsi"/>
              </w:rPr>
            </w:pPr>
            <w:r w:rsidRPr="00E7202C">
              <w:rPr>
                <w:rFonts w:asciiTheme="minorHAnsi" w:hAnsiTheme="minorHAnsi"/>
              </w:rPr>
              <w:t>.000</w:t>
            </w:r>
          </w:p>
        </w:tc>
      </w:tr>
      <w:tr w:rsidR="007C4846" w:rsidRPr="00E7202C" w:rsidTr="007C4846">
        <w:trPr>
          <w:trHeight w:val="275"/>
        </w:trPr>
        <w:tc>
          <w:tcPr>
            <w:tcW w:w="1223"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0</w:t>
            </w:r>
          </w:p>
        </w:tc>
        <w:tc>
          <w:tcPr>
            <w:tcW w:w="1214"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0</w:t>
            </w:r>
          </w:p>
        </w:tc>
        <w:tc>
          <w:tcPr>
            <w:tcW w:w="1259"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p>
        </w:tc>
        <w:tc>
          <w:tcPr>
            <w:tcW w:w="1417"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37.5</w:t>
            </w:r>
          </w:p>
        </w:tc>
        <w:tc>
          <w:tcPr>
            <w:tcW w:w="1276"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112</w:t>
            </w:r>
          </w:p>
        </w:tc>
        <w:tc>
          <w:tcPr>
            <w:tcW w:w="1276"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149</w:t>
            </w:r>
          </w:p>
        </w:tc>
        <w:tc>
          <w:tcPr>
            <w:tcW w:w="1559"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.000</w:t>
            </w:r>
          </w:p>
        </w:tc>
      </w:tr>
      <w:tr w:rsidR="007C4846" w:rsidRPr="00E7202C" w:rsidTr="007C4846">
        <w:trPr>
          <w:trHeight w:val="275"/>
        </w:trPr>
        <w:tc>
          <w:tcPr>
            <w:tcW w:w="1223"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1</w:t>
            </w:r>
          </w:p>
        </w:tc>
        <w:tc>
          <w:tcPr>
            <w:tcW w:w="1214"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0</w:t>
            </w:r>
          </w:p>
        </w:tc>
        <w:tc>
          <w:tcPr>
            <w:tcW w:w="1259"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p>
        </w:tc>
        <w:tc>
          <w:tcPr>
            <w:tcW w:w="1417"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0</w:t>
            </w:r>
          </w:p>
        </w:tc>
        <w:tc>
          <w:tcPr>
            <w:tcW w:w="1276"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0</w:t>
            </w:r>
          </w:p>
        </w:tc>
        <w:tc>
          <w:tcPr>
            <w:tcW w:w="1276"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0</w:t>
            </w:r>
          </w:p>
        </w:tc>
        <w:tc>
          <w:tcPr>
            <w:tcW w:w="1559"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.862</w:t>
            </w:r>
          </w:p>
        </w:tc>
      </w:tr>
      <w:tr w:rsidR="007C4846" w:rsidRPr="00E7202C" w:rsidTr="007C4846">
        <w:trPr>
          <w:trHeight w:val="275"/>
        </w:trPr>
        <w:tc>
          <w:tcPr>
            <w:tcW w:w="1223"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0</w:t>
            </w:r>
          </w:p>
        </w:tc>
        <w:tc>
          <w:tcPr>
            <w:tcW w:w="1214"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1</w:t>
            </w:r>
          </w:p>
        </w:tc>
        <w:tc>
          <w:tcPr>
            <w:tcW w:w="1259"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p>
        </w:tc>
        <w:tc>
          <w:tcPr>
            <w:tcW w:w="1417"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30.4</w:t>
            </w:r>
          </w:p>
        </w:tc>
        <w:tc>
          <w:tcPr>
            <w:tcW w:w="1276"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84.3</w:t>
            </w:r>
          </w:p>
        </w:tc>
        <w:tc>
          <w:tcPr>
            <w:tcW w:w="1276"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115</w:t>
            </w:r>
          </w:p>
        </w:tc>
        <w:tc>
          <w:tcPr>
            <w:tcW w:w="1559" w:type="dxa"/>
            <w:tcBorders>
              <w:top w:val="nil"/>
              <w:bottom w:val="nil"/>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.000</w:t>
            </w:r>
          </w:p>
        </w:tc>
      </w:tr>
      <w:tr w:rsidR="007C4846" w:rsidRPr="00E7202C" w:rsidTr="00E7202C">
        <w:trPr>
          <w:trHeight w:val="275"/>
        </w:trPr>
        <w:tc>
          <w:tcPr>
            <w:tcW w:w="1223" w:type="dxa"/>
            <w:tcBorders>
              <w:top w:val="nil"/>
              <w:bottom w:val="single" w:sz="4" w:space="0" w:color="auto"/>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1</w:t>
            </w:r>
          </w:p>
        </w:tc>
        <w:tc>
          <w:tcPr>
            <w:tcW w:w="1214" w:type="dxa"/>
            <w:tcBorders>
              <w:top w:val="nil"/>
              <w:bottom w:val="single" w:sz="4" w:space="0" w:color="auto"/>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1</w:t>
            </w:r>
          </w:p>
        </w:tc>
        <w:tc>
          <w:tcPr>
            <w:tcW w:w="1259" w:type="dxa"/>
            <w:tcBorders>
              <w:top w:val="nil"/>
              <w:bottom w:val="single" w:sz="4" w:space="0" w:color="auto"/>
            </w:tcBorders>
            <w:tcMar>
              <w:top w:w="55" w:type="dxa"/>
              <w:left w:w="55" w:type="dxa"/>
              <w:bottom w:w="55" w:type="dxa"/>
              <w:right w:w="55" w:type="dxa"/>
            </w:tcMar>
          </w:tcPr>
          <w:p w:rsidR="007C4846" w:rsidRPr="007C4846" w:rsidRDefault="007C4846" w:rsidP="00AF03BC">
            <w:pPr>
              <w:contextualSpacing/>
              <w:rPr>
                <w:sz w:val="24"/>
                <w:szCs w:val="24"/>
              </w:rPr>
            </w:pPr>
          </w:p>
        </w:tc>
        <w:tc>
          <w:tcPr>
            <w:tcW w:w="1417" w:type="dxa"/>
            <w:tcBorders>
              <w:top w:val="nil"/>
              <w:bottom w:val="single" w:sz="4" w:space="0" w:color="auto"/>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14.6</w:t>
            </w:r>
          </w:p>
        </w:tc>
        <w:tc>
          <w:tcPr>
            <w:tcW w:w="1276" w:type="dxa"/>
            <w:tcBorders>
              <w:top w:val="nil"/>
              <w:bottom w:val="single" w:sz="4" w:space="0" w:color="auto"/>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11.7</w:t>
            </w:r>
          </w:p>
        </w:tc>
        <w:tc>
          <w:tcPr>
            <w:tcW w:w="1276" w:type="dxa"/>
            <w:tcBorders>
              <w:top w:val="nil"/>
              <w:bottom w:val="single" w:sz="4" w:space="0" w:color="auto"/>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26.3</w:t>
            </w:r>
          </w:p>
        </w:tc>
        <w:tc>
          <w:tcPr>
            <w:tcW w:w="1559" w:type="dxa"/>
            <w:tcBorders>
              <w:top w:val="nil"/>
              <w:bottom w:val="single" w:sz="4" w:space="0" w:color="auto"/>
            </w:tcBorders>
            <w:tcMar>
              <w:top w:w="55" w:type="dxa"/>
              <w:left w:w="55" w:type="dxa"/>
              <w:bottom w:w="55" w:type="dxa"/>
              <w:right w:w="55" w:type="dxa"/>
            </w:tcMar>
          </w:tcPr>
          <w:p w:rsidR="007C4846" w:rsidRPr="007C4846" w:rsidRDefault="007C4846" w:rsidP="00AF03BC">
            <w:pPr>
              <w:contextualSpacing/>
              <w:rPr>
                <w:sz w:val="24"/>
                <w:szCs w:val="24"/>
              </w:rPr>
            </w:pPr>
            <w:r w:rsidRPr="007C4846">
              <w:rPr>
                <w:sz w:val="24"/>
                <w:szCs w:val="24"/>
              </w:rPr>
              <w:t>.000</w:t>
            </w:r>
          </w:p>
        </w:tc>
      </w:tr>
    </w:tbl>
    <w:p w:rsidR="005F2B88" w:rsidRPr="00E7202C" w:rsidRDefault="005F2B88" w:rsidP="00E7202C">
      <w:pPr>
        <w:pStyle w:val="Standard"/>
        <w:spacing w:line="360" w:lineRule="auto"/>
        <w:rPr>
          <w:rFonts w:asciiTheme="minorHAnsi" w:hAnsiTheme="minorHAnsi"/>
          <w:i/>
        </w:rPr>
      </w:pPr>
    </w:p>
    <w:p w:rsidR="005F2B88" w:rsidRPr="00E7202C" w:rsidRDefault="005F2B88" w:rsidP="00E7202C">
      <w:pPr>
        <w:pStyle w:val="Standard"/>
        <w:spacing w:line="360" w:lineRule="auto"/>
        <w:rPr>
          <w:rFonts w:asciiTheme="minorHAnsi" w:hAnsiTheme="minorHAnsi" w:cs="Arial"/>
        </w:rPr>
      </w:pPr>
      <w:r w:rsidRPr="00E7202C">
        <w:rPr>
          <w:rFonts w:asciiTheme="minorHAnsi" w:hAnsiTheme="minorHAnsi"/>
          <w:i/>
        </w:rPr>
        <w:t>Note.</w:t>
      </w:r>
      <w:r w:rsidRPr="00E7202C">
        <w:rPr>
          <w:rFonts w:asciiTheme="minorHAnsi" w:hAnsiTheme="minorHAnsi"/>
        </w:rPr>
        <w:t xml:space="preserve"> The first three columns describe the models used with a 0 indicating a parameter shared across participants and a 1 indicating a parameter free to vary across participants. No value indicates that this parameter was not employed in the model. The fourth column shows AIC differences for the Single Touch strategy, the fifth column shows AIC d</w:t>
      </w:r>
      <w:bookmarkStart w:id="1" w:name="_GoBack"/>
      <w:bookmarkEnd w:id="1"/>
      <w:r w:rsidRPr="00E7202C">
        <w:rPr>
          <w:rFonts w:asciiTheme="minorHAnsi" w:hAnsiTheme="minorHAnsi"/>
        </w:rPr>
        <w:t xml:space="preserve">ifferences for the Free Exploration strategy. The sixth column shows these combined whilst the final column shows the </w:t>
      </w:r>
      <w:proofErr w:type="spellStart"/>
      <w:r w:rsidRPr="00E7202C">
        <w:rPr>
          <w:rFonts w:asciiTheme="minorHAnsi" w:hAnsiTheme="minorHAnsi"/>
        </w:rPr>
        <w:t>Akaike</w:t>
      </w:r>
      <w:proofErr w:type="spellEnd"/>
      <w:r w:rsidRPr="00E7202C">
        <w:rPr>
          <w:rFonts w:asciiTheme="minorHAnsi" w:hAnsiTheme="minorHAnsi"/>
        </w:rPr>
        <w:t xml:space="preserve"> weights derived from that penultimate column.</w:t>
      </w:r>
    </w:p>
    <w:p w:rsidR="00012806" w:rsidRDefault="00022917"/>
    <w:sectPr w:rsidR="00012806" w:rsidSect="00CC54F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B6" w:rsidRDefault="00302FB6" w:rsidP="00042B32">
      <w:pPr>
        <w:spacing w:after="0" w:line="240" w:lineRule="auto"/>
      </w:pPr>
      <w:r>
        <w:separator/>
      </w:r>
    </w:p>
  </w:endnote>
  <w:endnote w:type="continuationSeparator" w:id="0">
    <w:p w:rsidR="00302FB6" w:rsidRDefault="00302FB6" w:rsidP="0004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default"/>
  </w:font>
  <w:font w:name="DejaVu Sans">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95" w:rsidRDefault="00042B32">
    <w:pPr>
      <w:pStyle w:val="Footer"/>
      <w:jc w:val="center"/>
    </w:pPr>
    <w:r>
      <w:fldChar w:fldCharType="begin"/>
    </w:r>
    <w:r w:rsidR="00B2256B">
      <w:instrText xml:space="preserve"> PAGE   \* MERGEFORMAT </w:instrText>
    </w:r>
    <w:r>
      <w:fldChar w:fldCharType="separate"/>
    </w:r>
    <w:r w:rsidR="00AF03BC">
      <w:rPr>
        <w:noProof/>
      </w:rPr>
      <w:t>1</w:t>
    </w:r>
    <w:r>
      <w:rPr>
        <w:noProof/>
      </w:rPr>
      <w:fldChar w:fldCharType="end"/>
    </w:r>
  </w:p>
  <w:p w:rsidR="00205295" w:rsidRDefault="0002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B6" w:rsidRDefault="00302FB6" w:rsidP="00042B32">
      <w:pPr>
        <w:spacing w:after="0" w:line="240" w:lineRule="auto"/>
      </w:pPr>
      <w:r>
        <w:separator/>
      </w:r>
    </w:p>
  </w:footnote>
  <w:footnote w:type="continuationSeparator" w:id="0">
    <w:p w:rsidR="00302FB6" w:rsidRDefault="00302FB6" w:rsidP="00042B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2B88"/>
    <w:rsid w:val="00022917"/>
    <w:rsid w:val="00042B32"/>
    <w:rsid w:val="00085515"/>
    <w:rsid w:val="00203A4E"/>
    <w:rsid w:val="00302FB6"/>
    <w:rsid w:val="005352C4"/>
    <w:rsid w:val="005F2B88"/>
    <w:rsid w:val="007C4846"/>
    <w:rsid w:val="00814BE8"/>
    <w:rsid w:val="00880B43"/>
    <w:rsid w:val="009135BD"/>
    <w:rsid w:val="00AF03BC"/>
    <w:rsid w:val="00B2256B"/>
    <w:rsid w:val="00B53228"/>
    <w:rsid w:val="00E7202C"/>
    <w:rsid w:val="00F3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88"/>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F2B88"/>
    <w:pPr>
      <w:widowControl w:val="0"/>
      <w:suppressAutoHyphens/>
      <w:autoSpaceDN w:val="0"/>
      <w:spacing w:after="0" w:line="240" w:lineRule="auto"/>
      <w:textAlignment w:val="baseline"/>
    </w:pPr>
    <w:rPr>
      <w:rFonts w:ascii="Liberation Serif" w:eastAsia="DejaVu Sans" w:hAnsi="Liberation Serif" w:cs="Lohit Hindi"/>
      <w:kern w:val="3"/>
      <w:sz w:val="24"/>
      <w:szCs w:val="24"/>
      <w:lang w:val="en-GB" w:eastAsia="zh-CN" w:bidi="hi-IN"/>
    </w:rPr>
  </w:style>
  <w:style w:type="paragraph" w:customStyle="1" w:styleId="TableContents">
    <w:name w:val="Table Contents"/>
    <w:basedOn w:val="Standard"/>
    <w:rsid w:val="005F2B88"/>
    <w:pPr>
      <w:suppressLineNumbers/>
    </w:pPr>
  </w:style>
  <w:style w:type="paragraph" w:styleId="Footer">
    <w:name w:val="footer"/>
    <w:basedOn w:val="Normal"/>
    <w:link w:val="FooterChar"/>
    <w:uiPriority w:val="99"/>
    <w:unhideWhenUsed/>
    <w:rsid w:val="005F2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B88"/>
    <w:rPr>
      <w:rFonts w:ascii="Calibri" w:eastAsia="Times New Roman" w:hAnsi="Calibri"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dc:creator>
  <cp:keywords/>
  <dc:description/>
  <cp:lastModifiedBy>Chris</cp:lastModifiedBy>
  <cp:revision>10</cp:revision>
  <dcterms:created xsi:type="dcterms:W3CDTF">2013-06-12T08:58:00Z</dcterms:created>
  <dcterms:modified xsi:type="dcterms:W3CDTF">2013-07-16T14:02:00Z</dcterms:modified>
</cp:coreProperties>
</file>