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C4" w:rsidRDefault="00D03FC4" w:rsidP="00D03FC4">
      <w:pPr>
        <w:rPr>
          <w:color w:val="000000"/>
          <w:lang w:val="en-GB" w:eastAsia="en-GB"/>
        </w:rPr>
      </w:pPr>
      <w:bookmarkStart w:id="0" w:name="_GoBack"/>
      <w:bookmarkEnd w:id="0"/>
      <w:r w:rsidRPr="00663CBF">
        <w:rPr>
          <w:b/>
          <w:color w:val="000000"/>
          <w:lang w:val="en-GB" w:eastAsia="en-GB"/>
        </w:rPr>
        <w:t xml:space="preserve">Table </w:t>
      </w:r>
      <w:r>
        <w:rPr>
          <w:b/>
          <w:color w:val="000000"/>
          <w:lang w:val="en-GB" w:eastAsia="en-GB"/>
        </w:rPr>
        <w:t>S3.</w:t>
      </w:r>
      <w:r w:rsidRPr="00663CBF">
        <w:rPr>
          <w:color w:val="000000"/>
          <w:lang w:val="en-GB" w:eastAsia="en-GB"/>
        </w:rPr>
        <w:t xml:space="preserve"> Organ </w:t>
      </w:r>
      <w:proofErr w:type="spellStart"/>
      <w:r>
        <w:rPr>
          <w:color w:val="000000"/>
          <w:lang w:val="en-GB" w:eastAsia="en-GB"/>
        </w:rPr>
        <w:t>systems</w:t>
      </w:r>
      <w:r w:rsidRPr="00061140">
        <w:rPr>
          <w:color w:val="000000"/>
          <w:vertAlign w:val="superscript"/>
          <w:lang w:val="en-GB" w:eastAsia="en-GB"/>
        </w:rPr>
        <w:t>a</w:t>
      </w:r>
      <w:proofErr w:type="spellEnd"/>
      <w:r>
        <w:rPr>
          <w:color w:val="000000"/>
          <w:lang w:val="en-GB" w:eastAsia="en-GB"/>
        </w:rPr>
        <w:t xml:space="preserve"> and </w:t>
      </w:r>
      <w:proofErr w:type="spellStart"/>
      <w:r>
        <w:rPr>
          <w:color w:val="000000"/>
          <w:lang w:val="en-GB" w:eastAsia="en-GB"/>
        </w:rPr>
        <w:t>symptoms</w:t>
      </w:r>
      <w:r w:rsidRPr="00061140">
        <w:rPr>
          <w:color w:val="000000"/>
          <w:vertAlign w:val="superscript"/>
          <w:lang w:val="en-GB" w:eastAsia="en-GB"/>
        </w:rPr>
        <w:t>b</w:t>
      </w:r>
      <w:proofErr w:type="spellEnd"/>
      <w:r>
        <w:rPr>
          <w:color w:val="000000"/>
          <w:lang w:val="en-GB" w:eastAsia="en-GB"/>
        </w:rPr>
        <w:t xml:space="preserve"> </w:t>
      </w:r>
      <w:r w:rsidRPr="00663CBF">
        <w:rPr>
          <w:color w:val="000000"/>
          <w:lang w:val="en-GB" w:eastAsia="en-GB"/>
        </w:rPr>
        <w:t xml:space="preserve">affected by </w:t>
      </w:r>
      <w:r>
        <w:rPr>
          <w:color w:val="000000"/>
          <w:lang w:val="en-GB" w:eastAsia="en-GB"/>
        </w:rPr>
        <w:t xml:space="preserve">all and preventable </w:t>
      </w:r>
      <w:r w:rsidRPr="00663CBF">
        <w:rPr>
          <w:color w:val="000000"/>
          <w:lang w:val="en-GB" w:eastAsia="en-GB"/>
        </w:rPr>
        <w:t>self-reporte</w:t>
      </w:r>
      <w:r>
        <w:rPr>
          <w:color w:val="000000"/>
          <w:lang w:val="en-GB" w:eastAsia="en-GB"/>
        </w:rPr>
        <w:t>d adverse drug reactions (ADRs)</w:t>
      </w:r>
      <w:r w:rsidRPr="00663CBF">
        <w:rPr>
          <w:color w:val="000000"/>
          <w:lang w:val="en-GB" w:eastAsia="en-GB"/>
        </w:rPr>
        <w:t xml:space="preserve">, with reported </w:t>
      </w:r>
      <w:proofErr w:type="spellStart"/>
      <w:r w:rsidRPr="00663CBF">
        <w:rPr>
          <w:color w:val="000000"/>
          <w:lang w:val="en-GB" w:eastAsia="en-GB"/>
        </w:rPr>
        <w:t>drugs</w:t>
      </w:r>
      <w:r w:rsidRPr="00061140">
        <w:rPr>
          <w:color w:val="000000"/>
          <w:vertAlign w:val="superscript"/>
          <w:lang w:val="en-GB" w:eastAsia="en-GB"/>
        </w:rPr>
        <w:t>c</w:t>
      </w:r>
      <w:proofErr w:type="spellEnd"/>
      <w:r>
        <w:rPr>
          <w:color w:val="000000"/>
          <w:lang w:val="en-GB" w:eastAsia="en-GB"/>
        </w:rPr>
        <w:t>.</w:t>
      </w:r>
    </w:p>
    <w:p w:rsidR="00D03FC4" w:rsidRDefault="00D03FC4" w:rsidP="00D03FC4">
      <w:pPr>
        <w:rPr>
          <w:color w:val="000000"/>
          <w:lang w:val="en-GB" w:eastAsia="en-GB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843"/>
        <w:gridCol w:w="7796"/>
      </w:tblGrid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O</w:t>
            </w:r>
            <w:r w:rsidRPr="006741B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rgan</w:t>
            </w:r>
            <w: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system</w:t>
            </w:r>
            <w:r w:rsidRPr="006741B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</w:t>
            </w:r>
            <w:r w:rsidRPr="006741B9">
              <w:rPr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a</w:t>
            </w:r>
            <w:proofErr w:type="spellEnd"/>
            <w:r w:rsidRPr="006741B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and </w:t>
            </w:r>
            <w:proofErr w:type="spellStart"/>
            <w:r w:rsidRPr="006741B9">
              <w:rPr>
                <w:b/>
                <w:bCs/>
                <w:color w:val="000000"/>
                <w:sz w:val="20"/>
                <w:szCs w:val="20"/>
                <w:lang w:val="en-GB" w:eastAsia="en-GB"/>
              </w:rPr>
              <w:t>symptoms</w:t>
            </w:r>
            <w:r>
              <w:rPr>
                <w:bCs/>
                <w:color w:val="000000"/>
                <w:sz w:val="20"/>
                <w:szCs w:val="20"/>
                <w:vertAlign w:val="superscript"/>
                <w:lang w:val="en-GB" w:eastAsia="en-GB"/>
              </w:rPr>
              <w:t>b</w:t>
            </w:r>
            <w:proofErr w:type="spellEnd"/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ADRs </w:t>
            </w:r>
            <w:r w:rsidRPr="00453C29">
              <w:rPr>
                <w:b/>
                <w:sz w:val="20"/>
                <w:szCs w:val="20"/>
                <w:lang w:val="en-GB"/>
              </w:rPr>
              <w:t>(n=847)</w:t>
            </w:r>
            <w:r w:rsidRPr="006741B9">
              <w:rPr>
                <w:b/>
                <w:sz w:val="20"/>
                <w:szCs w:val="20"/>
                <w:lang w:val="en-GB"/>
              </w:rPr>
              <w:t xml:space="preserve"> n (%)</w:t>
            </w:r>
          </w:p>
        </w:tc>
        <w:tc>
          <w:tcPr>
            <w:tcW w:w="1843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Preventable ADRs </w:t>
            </w:r>
            <w:r w:rsidRPr="00453C29">
              <w:rPr>
                <w:b/>
                <w:sz w:val="20"/>
                <w:szCs w:val="20"/>
                <w:lang w:val="en-GB"/>
              </w:rPr>
              <w:t>(n=</w:t>
            </w:r>
            <w:r w:rsidRPr="005422E1">
              <w:rPr>
                <w:b/>
                <w:sz w:val="20"/>
                <w:szCs w:val="20"/>
                <w:lang w:val="en-GB"/>
              </w:rPr>
              <w:t>13</w:t>
            </w:r>
            <w:r>
              <w:rPr>
                <w:b/>
                <w:sz w:val="20"/>
                <w:szCs w:val="20"/>
                <w:lang w:val="en-GB"/>
              </w:rPr>
              <w:t>9</w:t>
            </w:r>
            <w:r w:rsidRPr="00453C29">
              <w:rPr>
                <w:b/>
                <w:sz w:val="20"/>
                <w:szCs w:val="20"/>
                <w:lang w:val="en-GB"/>
              </w:rPr>
              <w:t>)</w:t>
            </w:r>
            <w:r w:rsidRPr="006741B9">
              <w:rPr>
                <w:b/>
                <w:sz w:val="20"/>
                <w:szCs w:val="20"/>
                <w:lang w:val="en-GB"/>
              </w:rPr>
              <w:t xml:space="preserve"> n (%)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bookmarkStart w:id="1" w:name="_Hlk328049049"/>
            <w:proofErr w:type="spellStart"/>
            <w:r w:rsidRPr="006741B9">
              <w:rPr>
                <w:b/>
                <w:sz w:val="20"/>
                <w:szCs w:val="20"/>
                <w:lang w:val="en-GB"/>
              </w:rPr>
              <w:t>Drugs</w:t>
            </w:r>
            <w:r>
              <w:rPr>
                <w:sz w:val="20"/>
                <w:szCs w:val="20"/>
                <w:vertAlign w:val="superscript"/>
                <w:lang w:val="en-GB"/>
              </w:rPr>
              <w:t>c</w:t>
            </w:r>
            <w:proofErr w:type="spellEnd"/>
            <w:r w:rsidRPr="006741B9">
              <w:rPr>
                <w:b/>
                <w:sz w:val="20"/>
                <w:szCs w:val="20"/>
                <w:lang w:val="en-GB"/>
              </w:rPr>
              <w:t xml:space="preserve"> associated with the </w:t>
            </w:r>
            <w:r>
              <w:rPr>
                <w:b/>
                <w:sz w:val="20"/>
                <w:szCs w:val="20"/>
                <w:lang w:val="en-GB"/>
              </w:rPr>
              <w:t xml:space="preserve">ADR </w:t>
            </w:r>
            <w:proofErr w:type="spellStart"/>
            <w:r w:rsidRPr="006741B9">
              <w:rPr>
                <w:b/>
                <w:sz w:val="20"/>
                <w:szCs w:val="20"/>
                <w:lang w:val="en-GB"/>
              </w:rPr>
              <w:t>symptom</w:t>
            </w:r>
            <w:r>
              <w:rPr>
                <w:sz w:val="20"/>
                <w:szCs w:val="20"/>
                <w:vertAlign w:val="superscript"/>
                <w:lang w:val="en-GB"/>
              </w:rPr>
              <w:t>b</w:t>
            </w:r>
            <w:proofErr w:type="spellEnd"/>
            <w:r w:rsidRPr="006741B9">
              <w:rPr>
                <w:b/>
                <w:sz w:val="20"/>
                <w:szCs w:val="20"/>
                <w:lang w:val="en-GB"/>
              </w:rPr>
              <w:t xml:space="preserve"> ≥2 times</w:t>
            </w:r>
            <w:bookmarkEnd w:id="1"/>
          </w:p>
        </w:tc>
      </w:tr>
      <w:tr w:rsidR="00D03FC4" w:rsidRPr="006741B9" w:rsidTr="0084687E">
        <w:trPr>
          <w:trHeight w:val="223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>Gastrointestinal disorders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>228 (26.9)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3B60B1">
              <w:rPr>
                <w:b/>
                <w:sz w:val="20"/>
                <w:szCs w:val="20"/>
                <w:lang w:val="en-GB"/>
              </w:rPr>
              <w:t>28 (20.1)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6741B9" w:rsidTr="0084687E">
        <w:trPr>
          <w:trHeight w:val="528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Nausea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55 (</w:t>
            </w:r>
            <w:r>
              <w:rPr>
                <w:sz w:val="20"/>
                <w:szCs w:val="20"/>
                <w:lang w:val="en-GB"/>
              </w:rPr>
              <w:t>6.5</w:t>
            </w:r>
            <w:r w:rsidRPr="006741B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sz w:val="20"/>
                <w:szCs w:val="20"/>
                <w:lang w:val="en-GB"/>
              </w:rPr>
            </w:pPr>
            <w:r w:rsidRPr="003B60B1">
              <w:rPr>
                <w:sz w:val="20"/>
                <w:szCs w:val="20"/>
                <w:lang w:val="en-GB"/>
              </w:rPr>
              <w:t>9</w:t>
            </w:r>
            <w:r>
              <w:rPr>
                <w:sz w:val="20"/>
                <w:szCs w:val="20"/>
                <w:lang w:val="en-GB"/>
              </w:rPr>
              <w:t xml:space="preserve"> (6.5)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Methotrexate 4, citalopram 2</w:t>
            </w:r>
            <w:r w:rsidRPr="006741B9">
              <w:rPr>
                <w:color w:val="000000"/>
                <w:sz w:val="20"/>
                <w:szCs w:val="20"/>
                <w:lang w:val="en-GB"/>
              </w:rPr>
              <w:t>, codeine combin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ations excl.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psycholeptics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2,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diclofenac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2, naproxen 2, oxycodone 2,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pregabalin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2</w:t>
            </w:r>
          </w:p>
        </w:tc>
      </w:tr>
      <w:tr w:rsidR="00D03FC4" w:rsidRPr="006741B9" w:rsidTr="0084687E">
        <w:trPr>
          <w:trHeight w:val="74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741B9">
              <w:rPr>
                <w:color w:val="000000"/>
                <w:sz w:val="20"/>
                <w:szCs w:val="20"/>
                <w:lang w:val="en-GB" w:eastAsia="en-GB"/>
              </w:rPr>
              <w:t>Diarrhoea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741B9">
              <w:rPr>
                <w:color w:val="000000"/>
                <w:sz w:val="20"/>
                <w:szCs w:val="20"/>
                <w:lang w:val="en-GB" w:eastAsia="en-GB"/>
              </w:rPr>
              <w:t>32 (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3.8</w:t>
            </w:r>
            <w:r w:rsidRPr="006741B9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01127C" w:rsidRDefault="00D03FC4" w:rsidP="0084687E">
            <w:pPr>
              <w:rPr>
                <w:sz w:val="20"/>
                <w:szCs w:val="20"/>
                <w:lang w:val="en-GB"/>
              </w:rPr>
            </w:pPr>
            <w:r w:rsidRPr="0001127C">
              <w:rPr>
                <w:sz w:val="20"/>
                <w:szCs w:val="20"/>
                <w:lang w:val="en-GB"/>
              </w:rPr>
              <w:t>2 (1.4)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 w:eastAsia="en-GB"/>
              </w:rPr>
              <w:t>Phenoxymethylpenicillin</w:t>
            </w:r>
            <w:proofErr w:type="spellEnd"/>
            <w:r>
              <w:rPr>
                <w:color w:val="000000"/>
                <w:sz w:val="20"/>
                <w:szCs w:val="20"/>
                <w:lang w:val="en-GB" w:eastAsia="en-GB"/>
              </w:rPr>
              <w:t xml:space="preserve"> 4,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GB"/>
              </w:rPr>
              <w:t>diclofenac</w:t>
            </w:r>
            <w:proofErr w:type="spellEnd"/>
            <w:r>
              <w:rPr>
                <w:color w:val="000000"/>
                <w:sz w:val="20"/>
                <w:szCs w:val="20"/>
                <w:lang w:val="en-GB" w:eastAsia="en-GB"/>
              </w:rPr>
              <w:t xml:space="preserve"> 3, metformin 3,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GB"/>
              </w:rPr>
              <w:t>flucloxacillin</w:t>
            </w:r>
            <w:proofErr w:type="spellEnd"/>
            <w:r>
              <w:rPr>
                <w:color w:val="000000"/>
                <w:sz w:val="20"/>
                <w:szCs w:val="20"/>
                <w:lang w:val="en-GB" w:eastAsia="en-GB"/>
              </w:rPr>
              <w:t xml:space="preserve"> 2, sertraline 2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741B9">
              <w:rPr>
                <w:color w:val="000000"/>
                <w:sz w:val="20"/>
                <w:szCs w:val="20"/>
                <w:lang w:val="en-GB" w:eastAsia="en-GB"/>
              </w:rPr>
              <w:t>Dry mouth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741B9">
              <w:rPr>
                <w:color w:val="000000"/>
                <w:sz w:val="20"/>
                <w:szCs w:val="20"/>
                <w:lang w:val="en-GB" w:eastAsia="en-GB"/>
              </w:rPr>
              <w:t>30 (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3.5</w:t>
            </w:r>
            <w:r w:rsidRPr="006741B9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3B60B1">
              <w:rPr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6741B9">
              <w:rPr>
                <w:color w:val="000000"/>
                <w:sz w:val="20"/>
                <w:szCs w:val="20"/>
                <w:lang w:val="en-GB" w:eastAsia="en-GB"/>
              </w:rPr>
              <w:t>Se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rtraline 4, tramadol 3</w:t>
            </w:r>
            <w:r w:rsidRPr="006741B9">
              <w:rPr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741B9">
              <w:rPr>
                <w:color w:val="000000"/>
                <w:sz w:val="20"/>
                <w:szCs w:val="20"/>
                <w:lang w:val="en-GB"/>
              </w:rPr>
              <w:t>cit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alopram 2,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tolterodine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2</w:t>
            </w:r>
            <w:r w:rsidRPr="006741B9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741B9">
              <w:rPr>
                <w:color w:val="000000"/>
                <w:sz w:val="20"/>
                <w:szCs w:val="20"/>
                <w:lang w:val="en-GB" w:eastAsia="en-GB"/>
              </w:rPr>
              <w:t>zopiclone</w:t>
            </w:r>
            <w:proofErr w:type="spellEnd"/>
            <w:r w:rsidRPr="006741B9">
              <w:rPr>
                <w:color w:val="000000"/>
                <w:sz w:val="20"/>
                <w:szCs w:val="20"/>
                <w:lang w:val="en-GB" w:eastAsia="en-GB"/>
              </w:rPr>
              <w:t xml:space="preserve"> 2</w:t>
            </w:r>
          </w:p>
        </w:tc>
      </w:tr>
      <w:tr w:rsidR="00D03FC4" w:rsidRPr="006741B9" w:rsidTr="0084687E">
        <w:trPr>
          <w:trHeight w:val="74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color w:val="000000"/>
                <w:sz w:val="20"/>
                <w:szCs w:val="20"/>
                <w:lang w:val="en-GB"/>
              </w:rPr>
              <w:t>Abdominal pain upper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28 (3.3</w:t>
            </w:r>
            <w:r w:rsidRPr="006741B9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sz w:val="20"/>
                <w:szCs w:val="20"/>
                <w:lang w:val="en-GB"/>
              </w:rPr>
            </w:pPr>
            <w:r w:rsidRPr="003B60B1">
              <w:rPr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 xml:space="preserve"> (2.9)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Diclofenac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3</w:t>
            </w:r>
            <w:r w:rsidRPr="006741B9">
              <w:rPr>
                <w:color w:val="000000"/>
                <w:sz w:val="20"/>
                <w:szCs w:val="20"/>
                <w:lang w:val="en-GB"/>
              </w:rPr>
              <w:t>, metho</w:t>
            </w:r>
            <w:r>
              <w:rPr>
                <w:color w:val="000000"/>
                <w:sz w:val="20"/>
                <w:szCs w:val="20"/>
                <w:lang w:val="en-GB"/>
              </w:rPr>
              <w:t>trexate 2, simvastatin 2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6741B9">
              <w:rPr>
                <w:color w:val="000000"/>
                <w:sz w:val="20"/>
                <w:szCs w:val="20"/>
                <w:lang w:val="en-GB" w:eastAsia="en-GB"/>
              </w:rPr>
              <w:t>Gastric disorder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highlight w:val="yellow"/>
                <w:lang w:val="en-GB" w:eastAsia="en-GB"/>
              </w:rPr>
            </w:pPr>
            <w:r w:rsidRPr="006741B9">
              <w:rPr>
                <w:color w:val="000000"/>
                <w:sz w:val="20"/>
                <w:szCs w:val="20"/>
                <w:lang w:val="en-GB" w:eastAsia="en-GB"/>
              </w:rPr>
              <w:t>24 (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2.8</w:t>
            </w:r>
            <w:r w:rsidRPr="006741B9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sz w:val="20"/>
                <w:szCs w:val="20"/>
                <w:lang w:val="en-GB"/>
              </w:rPr>
            </w:pPr>
            <w:r w:rsidRPr="003B60B1">
              <w:rPr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 xml:space="preserve"> (2.9)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 w:eastAsia="en-GB"/>
              </w:rPr>
              <w:t>Diclofenac</w:t>
            </w:r>
            <w:proofErr w:type="spellEnd"/>
            <w:r>
              <w:rPr>
                <w:color w:val="000000"/>
                <w:sz w:val="20"/>
                <w:szCs w:val="20"/>
                <w:lang w:val="en-GB" w:eastAsia="en-GB"/>
              </w:rPr>
              <w:t xml:space="preserve"> 3</w:t>
            </w:r>
            <w:r w:rsidRPr="006741B9">
              <w:rPr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naproxen 3, metformin 2</w:t>
            </w:r>
          </w:p>
        </w:tc>
      </w:tr>
      <w:tr w:rsidR="00D03FC4" w:rsidRPr="006741B9" w:rsidTr="0084687E">
        <w:trPr>
          <w:trHeight w:val="176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741B9">
              <w:rPr>
                <w:color w:val="000000"/>
                <w:sz w:val="20"/>
                <w:szCs w:val="20"/>
                <w:lang w:val="en-GB" w:eastAsia="en-GB"/>
              </w:rPr>
              <w:t>Constipation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lang w:val="en-GB" w:eastAsia="en-GB"/>
              </w:rPr>
            </w:pPr>
            <w:r w:rsidRPr="006741B9">
              <w:rPr>
                <w:color w:val="000000"/>
                <w:sz w:val="20"/>
                <w:szCs w:val="20"/>
                <w:lang w:val="en-GB" w:eastAsia="en-GB"/>
              </w:rPr>
              <w:t>22 (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2.6</w:t>
            </w:r>
            <w:r w:rsidRPr="006741B9">
              <w:rPr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sz w:val="20"/>
                <w:szCs w:val="20"/>
                <w:lang w:val="en-GB"/>
              </w:rPr>
            </w:pPr>
            <w:r w:rsidRPr="003B60B1">
              <w:rPr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 xml:space="preserve"> (2.9)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color w:val="000000"/>
                <w:sz w:val="20"/>
                <w:szCs w:val="20"/>
                <w:lang w:val="en-GB" w:eastAsia="en-GB"/>
              </w:rPr>
            </w:pPr>
            <w:r w:rsidRPr="006741B9">
              <w:rPr>
                <w:color w:val="000000"/>
                <w:sz w:val="20"/>
                <w:szCs w:val="20"/>
                <w:lang w:val="en-GB" w:eastAsia="en-GB"/>
              </w:rPr>
              <w:t>Codeine, combin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 xml:space="preserve">ations excl.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GB"/>
              </w:rPr>
              <w:t>psycholeptics</w:t>
            </w:r>
            <w:proofErr w:type="spellEnd"/>
            <w:r>
              <w:rPr>
                <w:color w:val="000000"/>
                <w:sz w:val="20"/>
                <w:szCs w:val="20"/>
                <w:lang w:val="en-GB" w:eastAsia="en-GB"/>
              </w:rPr>
              <w:t xml:space="preserve"> 2</w:t>
            </w:r>
            <w:r w:rsidRPr="006741B9">
              <w:rPr>
                <w:color w:val="000000"/>
                <w:sz w:val="20"/>
                <w:szCs w:val="20"/>
                <w:lang w:val="en-GB" w:eastAsia="en-GB"/>
              </w:rPr>
              <w:t>, ferrous glycine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 w:eastAsia="en-GB"/>
              </w:rPr>
              <w:t>sulfate</w:t>
            </w:r>
            <w:proofErr w:type="spellEnd"/>
            <w:r>
              <w:rPr>
                <w:color w:val="000000"/>
                <w:sz w:val="20"/>
                <w:szCs w:val="20"/>
                <w:lang w:val="en-GB" w:eastAsia="en-GB"/>
              </w:rPr>
              <w:t xml:space="preserve"> 2, omeprazole 2</w:t>
            </w:r>
            <w:r w:rsidRPr="006741B9">
              <w:rPr>
                <w:color w:val="000000"/>
                <w:sz w:val="20"/>
                <w:szCs w:val="20"/>
                <w:lang w:val="en-GB" w:eastAsia="en-GB"/>
              </w:rPr>
              <w:t>, opium derivatives and ex</w:t>
            </w:r>
            <w:r>
              <w:rPr>
                <w:color w:val="000000"/>
                <w:sz w:val="20"/>
                <w:szCs w:val="20"/>
                <w:lang w:val="en-GB" w:eastAsia="en-GB"/>
              </w:rPr>
              <w:t>pectorants 2, tramadol 2</w:t>
            </w:r>
          </w:p>
        </w:tc>
      </w:tr>
      <w:tr w:rsidR="00D03FC4" w:rsidRPr="006741B9" w:rsidTr="0084687E">
        <w:trPr>
          <w:trHeight w:val="176"/>
        </w:trPr>
        <w:tc>
          <w:tcPr>
            <w:tcW w:w="3652" w:type="dxa"/>
            <w:shd w:val="clear" w:color="auto" w:fill="auto"/>
          </w:tcPr>
          <w:p w:rsidR="00D03FC4" w:rsidRPr="001141A2" w:rsidRDefault="00D03FC4" w:rsidP="0084687E">
            <w:pPr>
              <w:rPr>
                <w:sz w:val="20"/>
                <w:szCs w:val="20"/>
                <w:lang w:val="en-GB" w:eastAsia="en-GB"/>
              </w:rPr>
            </w:pPr>
            <w:r w:rsidRPr="001141A2">
              <w:rPr>
                <w:sz w:val="20"/>
                <w:szCs w:val="20"/>
                <w:lang w:val="en-GB" w:eastAsia="en-GB"/>
              </w:rPr>
              <w:t>Vomiting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03FC4" w:rsidRPr="0001127C" w:rsidRDefault="00D03FC4" w:rsidP="0084687E">
            <w:pPr>
              <w:rPr>
                <w:sz w:val="20"/>
                <w:szCs w:val="20"/>
                <w:lang w:val="en-GB"/>
              </w:rPr>
            </w:pPr>
            <w:r w:rsidRPr="0001127C">
              <w:rPr>
                <w:sz w:val="20"/>
                <w:szCs w:val="20"/>
                <w:lang w:val="en-GB"/>
              </w:rPr>
              <w:t>2 (1.4)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color w:val="000000"/>
                <w:sz w:val="20"/>
                <w:szCs w:val="20"/>
                <w:lang w:val="en-GB" w:eastAsia="en-GB"/>
              </w:rPr>
            </w:pPr>
            <w:r>
              <w:rPr>
                <w:color w:val="000000"/>
                <w:sz w:val="20"/>
                <w:szCs w:val="20"/>
                <w:lang w:val="en-GB" w:eastAsia="en-GB"/>
              </w:rPr>
              <w:t>-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>General disorders and administration site conditions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/>
              </w:rPr>
              <w:t>148 (17.5)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b/>
                <w:color w:val="000000"/>
                <w:sz w:val="20"/>
                <w:szCs w:val="20"/>
                <w:lang w:val="en-GB"/>
              </w:rPr>
            </w:pPr>
            <w:r w:rsidRPr="003B60B1">
              <w:rPr>
                <w:b/>
                <w:color w:val="000000"/>
                <w:sz w:val="20"/>
                <w:szCs w:val="20"/>
                <w:lang w:val="en-GB"/>
              </w:rPr>
              <w:t>17 (12.2)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lang w:val="en-GB"/>
              </w:rPr>
            </w:pPr>
            <w:r w:rsidRPr="006741B9">
              <w:rPr>
                <w:color w:val="000000"/>
                <w:sz w:val="20"/>
                <w:szCs w:val="20"/>
                <w:lang w:val="en-GB"/>
              </w:rPr>
              <w:t>Fatigue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lang w:val="en-GB"/>
              </w:rPr>
            </w:pPr>
            <w:r w:rsidRPr="006741B9">
              <w:rPr>
                <w:color w:val="000000"/>
                <w:sz w:val="20"/>
                <w:szCs w:val="20"/>
                <w:lang w:val="en-GB"/>
              </w:rPr>
              <w:t>94 (</w:t>
            </w:r>
            <w:r>
              <w:rPr>
                <w:color w:val="000000"/>
                <w:sz w:val="20"/>
                <w:szCs w:val="20"/>
                <w:lang w:val="en-GB"/>
              </w:rPr>
              <w:t>11.1</w:t>
            </w:r>
            <w:r w:rsidRPr="006741B9">
              <w:rPr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color w:val="000000"/>
                <w:sz w:val="20"/>
                <w:szCs w:val="20"/>
                <w:lang w:val="en-GB"/>
              </w:rPr>
            </w:pPr>
            <w:r w:rsidRPr="003B60B1">
              <w:rPr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(5.8)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color w:val="000000"/>
                <w:sz w:val="20"/>
                <w:szCs w:val="20"/>
                <w:highlight w:val="yellow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Cetirizine 4</w:t>
            </w:r>
            <w:r w:rsidRPr="006741B9">
              <w:rPr>
                <w:color w:val="000000"/>
                <w:sz w:val="20"/>
                <w:szCs w:val="20"/>
                <w:lang w:val="en-GB"/>
              </w:rPr>
              <w:t>, codeine, combin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ations excl.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psycholeptics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4</w:t>
            </w:r>
            <w:r w:rsidRPr="006741B9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741B9">
              <w:rPr>
                <w:color w:val="000000"/>
                <w:sz w:val="20"/>
                <w:szCs w:val="20"/>
                <w:lang w:val="en-GB"/>
              </w:rPr>
              <w:t>anas</w:t>
            </w:r>
            <w:r>
              <w:rPr>
                <w:color w:val="000000"/>
                <w:sz w:val="20"/>
                <w:szCs w:val="20"/>
                <w:lang w:val="en-GB"/>
              </w:rPr>
              <w:t>trozole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3,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diclofenac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3, ibuprofen 3,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sumatriptan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3,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zopiclone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3, acetylsalicylic acid 2, amitriptyline2, carbamazepine 2, hydroxyzine 2,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levetiracetam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2, lithium 2</w:t>
            </w:r>
            <w:r w:rsidRPr="006741B9">
              <w:rPr>
                <w:color w:val="000000"/>
                <w:sz w:val="20"/>
                <w:szCs w:val="20"/>
                <w:lang w:val="en-GB"/>
              </w:rPr>
              <w:t>,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loperamide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combinations 2, mirtazapine 2,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paracetamol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2,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pregabalin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2, sertraline 2, </w:t>
            </w: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topiramate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2, tramadol 2</w:t>
            </w:r>
            <w:r w:rsidRPr="006741B9">
              <w:rPr>
                <w:color w:val="000000"/>
                <w:sz w:val="20"/>
                <w:szCs w:val="20"/>
                <w:lang w:val="en-GB"/>
              </w:rPr>
              <w:t>, venlafaxine2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1141A2" w:rsidRDefault="00D03FC4" w:rsidP="0084687E">
            <w:pPr>
              <w:rPr>
                <w:sz w:val="20"/>
                <w:szCs w:val="20"/>
                <w:lang w:val="en-GB"/>
              </w:rPr>
            </w:pPr>
            <w:r w:rsidRPr="001141A2">
              <w:rPr>
                <w:sz w:val="20"/>
                <w:szCs w:val="20"/>
                <w:lang w:val="en-GB"/>
              </w:rPr>
              <w:t>Pain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sz w:val="20"/>
                <w:szCs w:val="20"/>
                <w:lang w:val="en-GB"/>
              </w:rPr>
            </w:pPr>
            <w:r w:rsidRPr="003B60B1">
              <w:rPr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 xml:space="preserve"> (2.9)</w:t>
            </w:r>
          </w:p>
        </w:tc>
        <w:tc>
          <w:tcPr>
            <w:tcW w:w="7796" w:type="dxa"/>
            <w:shd w:val="clear" w:color="auto" w:fill="auto"/>
          </w:tcPr>
          <w:p w:rsidR="00D03FC4" w:rsidRDefault="00D03FC4" w:rsidP="0084687E">
            <w:pPr>
              <w:ind w:left="170" w:hanging="17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5E69ED" w:rsidRDefault="00D03FC4" w:rsidP="0084687E">
            <w:pPr>
              <w:rPr>
                <w:sz w:val="20"/>
                <w:szCs w:val="20"/>
                <w:lang w:val="en-GB"/>
              </w:rPr>
            </w:pPr>
            <w:r w:rsidRPr="005E69ED">
              <w:rPr>
                <w:sz w:val="20"/>
                <w:szCs w:val="20"/>
                <w:lang w:val="en-GB"/>
              </w:rPr>
              <w:t>Hyperhidrosis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color w:val="000000"/>
                <w:sz w:val="20"/>
                <w:szCs w:val="20"/>
                <w:lang w:val="en-GB"/>
              </w:rPr>
            </w:pPr>
            <w:r w:rsidRPr="003B60B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(2.2)</w:t>
            </w:r>
          </w:p>
        </w:tc>
        <w:tc>
          <w:tcPr>
            <w:tcW w:w="7796" w:type="dxa"/>
            <w:shd w:val="clear" w:color="auto" w:fill="auto"/>
          </w:tcPr>
          <w:p w:rsidR="00D03FC4" w:rsidRDefault="00D03FC4" w:rsidP="0084687E">
            <w:pPr>
              <w:ind w:left="170" w:hanging="170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T</w:t>
            </w:r>
            <w:r w:rsidRPr="001141A2">
              <w:rPr>
                <w:color w:val="000000"/>
                <w:sz w:val="20"/>
                <w:szCs w:val="20"/>
                <w:lang w:val="en-GB"/>
              </w:rPr>
              <w:t>amoxifen</w:t>
            </w:r>
            <w:proofErr w:type="spellEnd"/>
            <w:r w:rsidRPr="001141A2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5, </w:t>
            </w:r>
            <w:r w:rsidRPr="001141A2">
              <w:rPr>
                <w:color w:val="000000"/>
                <w:sz w:val="20"/>
                <w:szCs w:val="20"/>
                <w:lang w:val="en-GB"/>
              </w:rPr>
              <w:t xml:space="preserve">sertraline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3, </w:t>
            </w:r>
            <w:r w:rsidRPr="001141A2">
              <w:rPr>
                <w:color w:val="000000"/>
                <w:sz w:val="20"/>
                <w:szCs w:val="20"/>
                <w:lang w:val="en-GB"/>
              </w:rPr>
              <w:t xml:space="preserve">citalopram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2, </w:t>
            </w:r>
            <w:r w:rsidRPr="001141A2">
              <w:rPr>
                <w:color w:val="000000"/>
                <w:sz w:val="20"/>
                <w:szCs w:val="20"/>
                <w:lang w:val="en-GB"/>
              </w:rPr>
              <w:t>duloxetine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2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>Nervous system disorders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t>98 (11.9)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3B60B1">
              <w:rPr>
                <w:b/>
                <w:sz w:val="20"/>
                <w:szCs w:val="20"/>
                <w:lang w:val="en-GB"/>
              </w:rPr>
              <w:t>17 (12.2)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Dizziness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33 (</w:t>
            </w:r>
            <w:r>
              <w:rPr>
                <w:sz w:val="20"/>
                <w:szCs w:val="20"/>
                <w:lang w:val="en-GB"/>
              </w:rPr>
              <w:t>3.9</w:t>
            </w:r>
            <w:r w:rsidRPr="006741B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color w:val="000000"/>
                <w:sz w:val="20"/>
                <w:szCs w:val="20"/>
                <w:lang w:val="en-GB"/>
              </w:rPr>
            </w:pPr>
            <w:r w:rsidRPr="003B60B1">
              <w:rPr>
                <w:color w:val="000000"/>
                <w:sz w:val="20"/>
                <w:szCs w:val="20"/>
                <w:lang w:val="en-GB"/>
              </w:rPr>
              <w:t>8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(5.8)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Citalopram 3, sertraline 3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Headache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23 (</w:t>
            </w:r>
            <w:r>
              <w:rPr>
                <w:sz w:val="20"/>
                <w:szCs w:val="20"/>
                <w:lang w:val="en-GB"/>
              </w:rPr>
              <w:t>2.7</w:t>
            </w:r>
            <w:r w:rsidRPr="006741B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color w:val="000000"/>
                <w:sz w:val="20"/>
                <w:szCs w:val="20"/>
                <w:lang w:val="en-GB"/>
              </w:rPr>
            </w:pPr>
            <w:r w:rsidRPr="003B60B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(2.2)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Methotrexate 3, citalopram 2</w:t>
            </w:r>
            <w:r w:rsidRPr="006741B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741B9">
              <w:rPr>
                <w:sz w:val="20"/>
                <w:szCs w:val="20"/>
                <w:lang w:val="en-GB"/>
              </w:rPr>
              <w:t>l</w:t>
            </w:r>
            <w:r>
              <w:rPr>
                <w:sz w:val="20"/>
                <w:szCs w:val="20"/>
                <w:lang w:val="en-GB"/>
              </w:rPr>
              <w:t>evonorgestrel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>
              <w:rPr>
                <w:sz w:val="20"/>
                <w:szCs w:val="20"/>
                <w:lang w:val="en-GB"/>
              </w:rPr>
              <w:t>estrogen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Tremor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12 (</w:t>
            </w:r>
            <w:r>
              <w:rPr>
                <w:sz w:val="20"/>
                <w:szCs w:val="20"/>
                <w:lang w:val="en-GB"/>
              </w:rPr>
              <w:t>1.4</w:t>
            </w:r>
            <w:r w:rsidRPr="006741B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Terbutaline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5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proofErr w:type="spellStart"/>
            <w:r w:rsidRPr="003B60B1">
              <w:rPr>
                <w:sz w:val="20"/>
                <w:szCs w:val="20"/>
                <w:lang w:val="en-GB"/>
              </w:rPr>
              <w:t>Hypoaesthesia</w:t>
            </w:r>
            <w:proofErr w:type="spellEnd"/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D03FC4" w:rsidRPr="0001127C" w:rsidRDefault="00D03FC4" w:rsidP="0084687E">
            <w:pPr>
              <w:rPr>
                <w:sz w:val="20"/>
                <w:szCs w:val="20"/>
                <w:lang w:val="en-GB"/>
              </w:rPr>
            </w:pPr>
            <w:r w:rsidRPr="0001127C">
              <w:rPr>
                <w:sz w:val="20"/>
                <w:szCs w:val="20"/>
                <w:lang w:val="en-GB"/>
              </w:rPr>
              <w:t>2 (1.4)</w:t>
            </w:r>
          </w:p>
        </w:tc>
        <w:tc>
          <w:tcPr>
            <w:tcW w:w="7796" w:type="dxa"/>
            <w:shd w:val="clear" w:color="auto" w:fill="auto"/>
          </w:tcPr>
          <w:p w:rsidR="00D03FC4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</w:p>
        </w:tc>
      </w:tr>
      <w:tr w:rsidR="00D03FC4" w:rsidRPr="006741B9" w:rsidTr="0084687E">
        <w:trPr>
          <w:trHeight w:val="106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>Psychiatric disorders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t>97 (11.5)</w:t>
            </w:r>
          </w:p>
        </w:tc>
        <w:tc>
          <w:tcPr>
            <w:tcW w:w="1843" w:type="dxa"/>
            <w:shd w:val="clear" w:color="auto" w:fill="auto"/>
          </w:tcPr>
          <w:p w:rsidR="00D03FC4" w:rsidRPr="00A51C11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A51C11">
              <w:rPr>
                <w:b/>
                <w:sz w:val="20"/>
                <w:szCs w:val="20"/>
                <w:lang w:val="en-GB"/>
              </w:rPr>
              <w:t>20 (14.4)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6741B9" w:rsidTr="0084687E">
        <w:trPr>
          <w:trHeight w:val="170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Anxiety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20 (</w:t>
            </w:r>
            <w:r>
              <w:rPr>
                <w:sz w:val="20"/>
                <w:szCs w:val="20"/>
                <w:lang w:val="en-GB"/>
              </w:rPr>
              <w:t>2.4</w:t>
            </w:r>
            <w:r w:rsidRPr="006741B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color w:val="000000"/>
                <w:sz w:val="20"/>
                <w:szCs w:val="20"/>
                <w:lang w:val="en-GB"/>
              </w:rPr>
            </w:pPr>
            <w:r w:rsidRPr="003B60B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(2.2)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Citalopram 3, levothyroxine 2, methylphenidate 2</w:t>
            </w:r>
          </w:p>
        </w:tc>
      </w:tr>
      <w:tr w:rsidR="00D03FC4" w:rsidRPr="006741B9" w:rsidTr="0084687E">
        <w:trPr>
          <w:trHeight w:val="74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Insomnia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15 (</w:t>
            </w:r>
            <w:r>
              <w:rPr>
                <w:sz w:val="20"/>
                <w:szCs w:val="20"/>
                <w:lang w:val="en-GB"/>
              </w:rPr>
              <w:t>1.8</w:t>
            </w:r>
            <w:r w:rsidRPr="006741B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sz w:val="20"/>
                <w:szCs w:val="20"/>
                <w:lang w:val="en-GB"/>
              </w:rPr>
            </w:pPr>
            <w:r w:rsidRPr="003B60B1">
              <w:rPr>
                <w:sz w:val="20"/>
                <w:szCs w:val="20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 xml:space="preserve"> (2.9)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-</w:t>
            </w:r>
          </w:p>
        </w:tc>
      </w:tr>
      <w:tr w:rsidR="00D03FC4" w:rsidRPr="006741B9" w:rsidTr="0084687E">
        <w:trPr>
          <w:trHeight w:val="276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Depressed mood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14 (</w:t>
            </w:r>
            <w:r>
              <w:rPr>
                <w:sz w:val="20"/>
                <w:szCs w:val="20"/>
                <w:lang w:val="en-GB"/>
              </w:rPr>
              <w:t>1.7</w:t>
            </w:r>
            <w:r w:rsidRPr="006741B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5 3.6)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-</w:t>
            </w:r>
          </w:p>
        </w:tc>
      </w:tr>
      <w:tr w:rsidR="00D03FC4" w:rsidRPr="006741B9" w:rsidTr="0084687E">
        <w:trPr>
          <w:trHeight w:val="251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>Skin and subcutaneous tissue disorders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t>43 (5.1)</w:t>
            </w:r>
          </w:p>
        </w:tc>
        <w:tc>
          <w:tcPr>
            <w:tcW w:w="1843" w:type="dxa"/>
            <w:shd w:val="clear" w:color="auto" w:fill="auto"/>
          </w:tcPr>
          <w:p w:rsidR="00D03FC4" w:rsidRPr="00A51C11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A51C11">
              <w:rPr>
                <w:b/>
                <w:sz w:val="20"/>
                <w:szCs w:val="20"/>
                <w:lang w:val="en-GB"/>
              </w:rPr>
              <w:t>12 (8.6)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Pruritus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10 (</w:t>
            </w:r>
            <w:r>
              <w:rPr>
                <w:sz w:val="20"/>
                <w:szCs w:val="20"/>
                <w:lang w:val="en-GB"/>
              </w:rPr>
              <w:t>1.3</w:t>
            </w:r>
            <w:r w:rsidRPr="006741B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color w:val="000000"/>
                <w:sz w:val="20"/>
                <w:szCs w:val="20"/>
                <w:lang w:val="en-GB"/>
              </w:rPr>
            </w:pPr>
            <w:r w:rsidRPr="003B60B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(2.2)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-</w:t>
            </w:r>
          </w:p>
        </w:tc>
      </w:tr>
      <w:tr w:rsidR="00D03FC4" w:rsidRPr="006741B9" w:rsidTr="0084687E">
        <w:trPr>
          <w:trHeight w:val="223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Alopecia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9 (</w:t>
            </w:r>
            <w:r>
              <w:rPr>
                <w:sz w:val="20"/>
                <w:szCs w:val="20"/>
                <w:lang w:val="en-GB"/>
              </w:rPr>
              <w:t>1.1</w:t>
            </w:r>
            <w:r w:rsidRPr="006741B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Methotrexate 2</w:t>
            </w:r>
          </w:p>
        </w:tc>
      </w:tr>
      <w:tr w:rsidR="00D03FC4" w:rsidRPr="006741B9" w:rsidTr="0084687E">
        <w:trPr>
          <w:trHeight w:val="223"/>
        </w:trPr>
        <w:tc>
          <w:tcPr>
            <w:tcW w:w="3652" w:type="dxa"/>
            <w:shd w:val="clear" w:color="auto" w:fill="auto"/>
          </w:tcPr>
          <w:p w:rsidR="00D03FC4" w:rsidRPr="005E69ED" w:rsidRDefault="00D03FC4" w:rsidP="0084687E">
            <w:pPr>
              <w:rPr>
                <w:sz w:val="20"/>
                <w:szCs w:val="20"/>
                <w:lang w:val="en-GB"/>
              </w:rPr>
            </w:pPr>
            <w:r w:rsidRPr="005E69ED">
              <w:rPr>
                <w:sz w:val="20"/>
                <w:szCs w:val="20"/>
                <w:lang w:val="en-GB"/>
              </w:rPr>
              <w:t>Rash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color w:val="000000"/>
                <w:sz w:val="20"/>
                <w:szCs w:val="20"/>
                <w:lang w:val="en-GB"/>
              </w:rPr>
            </w:pPr>
            <w:r w:rsidRPr="003B60B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(2.2)</w:t>
            </w:r>
          </w:p>
        </w:tc>
        <w:tc>
          <w:tcPr>
            <w:tcW w:w="7796" w:type="dxa"/>
            <w:shd w:val="clear" w:color="auto" w:fill="auto"/>
          </w:tcPr>
          <w:p w:rsidR="00D03FC4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r w:rsidRPr="005E69ED">
              <w:rPr>
                <w:sz w:val="20"/>
                <w:szCs w:val="20"/>
                <w:lang w:val="en-GB"/>
              </w:rPr>
              <w:t>Simvastatin</w:t>
            </w:r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</w:tr>
      <w:tr w:rsidR="00D03FC4" w:rsidRPr="006741B9" w:rsidTr="0084687E">
        <w:trPr>
          <w:trHeight w:val="251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 xml:space="preserve">Musculoskeletal and connective tissue </w:t>
            </w: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lastRenderedPageBreak/>
              <w:t>disorders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lastRenderedPageBreak/>
              <w:t>43 (5.1)</w:t>
            </w:r>
          </w:p>
        </w:tc>
        <w:tc>
          <w:tcPr>
            <w:tcW w:w="1843" w:type="dxa"/>
            <w:shd w:val="clear" w:color="auto" w:fill="auto"/>
          </w:tcPr>
          <w:p w:rsidR="00D03FC4" w:rsidRPr="00A51C11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A51C11">
              <w:rPr>
                <w:b/>
                <w:sz w:val="20"/>
                <w:szCs w:val="20"/>
                <w:lang w:val="en-GB"/>
              </w:rPr>
              <w:t>10 (7.2)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6741B9" w:rsidTr="0084687E">
        <w:trPr>
          <w:trHeight w:val="270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lastRenderedPageBreak/>
              <w:t>Muscle spasms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11 (</w:t>
            </w:r>
            <w:r>
              <w:rPr>
                <w:sz w:val="20"/>
                <w:szCs w:val="20"/>
                <w:lang w:val="en-GB"/>
              </w:rPr>
              <w:t>1.3</w:t>
            </w:r>
            <w:r w:rsidRPr="006741B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3B60B1" w:rsidRDefault="00D03FC4" w:rsidP="0084687E">
            <w:pPr>
              <w:rPr>
                <w:color w:val="000000"/>
                <w:sz w:val="20"/>
                <w:szCs w:val="20"/>
                <w:lang w:val="en-GB"/>
              </w:rPr>
            </w:pPr>
            <w:r w:rsidRPr="003B60B1">
              <w:rPr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(2.2)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-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>Cardiac disorders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t>32 (3.8)</w:t>
            </w:r>
          </w:p>
        </w:tc>
        <w:tc>
          <w:tcPr>
            <w:tcW w:w="1843" w:type="dxa"/>
            <w:shd w:val="clear" w:color="auto" w:fill="auto"/>
          </w:tcPr>
          <w:p w:rsidR="00D03FC4" w:rsidRPr="001D2B7C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1D2B7C">
              <w:rPr>
                <w:b/>
                <w:sz w:val="20"/>
                <w:szCs w:val="20"/>
                <w:lang w:val="en-GB"/>
              </w:rPr>
              <w:t>7 (5.0)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Palpitations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10 (</w:t>
            </w:r>
            <w:r>
              <w:rPr>
                <w:sz w:val="20"/>
                <w:szCs w:val="20"/>
                <w:lang w:val="en-GB"/>
              </w:rPr>
              <w:t>1.2</w:t>
            </w:r>
            <w:r w:rsidRPr="006741B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Terbutaline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3</w:t>
            </w:r>
            <w:r w:rsidRPr="006741B9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741B9">
              <w:rPr>
                <w:sz w:val="20"/>
                <w:szCs w:val="20"/>
                <w:lang w:val="en-GB"/>
              </w:rPr>
              <w:t>formoterol</w:t>
            </w:r>
            <w:proofErr w:type="spellEnd"/>
            <w:r w:rsidRPr="006741B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2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Dizziness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9 (</w:t>
            </w:r>
            <w:r>
              <w:rPr>
                <w:sz w:val="20"/>
                <w:szCs w:val="20"/>
                <w:lang w:val="en-GB"/>
              </w:rPr>
              <w:t>1.1</w:t>
            </w:r>
            <w:r w:rsidRPr="006741B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Enalapril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 xml:space="preserve">Respiratory, thoracic and </w:t>
            </w:r>
            <w:proofErr w:type="spellStart"/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>mediastinal</w:t>
            </w:r>
            <w:proofErr w:type="spellEnd"/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 xml:space="preserve"> disorders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t>31 (3.7)</w:t>
            </w:r>
          </w:p>
        </w:tc>
        <w:tc>
          <w:tcPr>
            <w:tcW w:w="1843" w:type="dxa"/>
            <w:shd w:val="clear" w:color="auto" w:fill="auto"/>
          </w:tcPr>
          <w:p w:rsidR="00D03FC4" w:rsidRPr="00A51C11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A51C11">
              <w:rPr>
                <w:b/>
                <w:sz w:val="20"/>
                <w:szCs w:val="20"/>
                <w:lang w:val="en-GB"/>
              </w:rPr>
              <w:t>5 (3.6)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A51C11" w:rsidTr="0084687E">
        <w:tc>
          <w:tcPr>
            <w:tcW w:w="3652" w:type="dxa"/>
            <w:shd w:val="clear" w:color="auto" w:fill="auto"/>
          </w:tcPr>
          <w:p w:rsidR="00D03FC4" w:rsidRPr="005E69ED" w:rsidRDefault="00D03FC4" w:rsidP="0084687E">
            <w:pPr>
              <w:rPr>
                <w:sz w:val="20"/>
                <w:szCs w:val="20"/>
                <w:lang w:val="en-GB" w:eastAsia="en-GB"/>
              </w:rPr>
            </w:pPr>
            <w:r w:rsidRPr="005E69ED">
              <w:rPr>
                <w:sz w:val="20"/>
                <w:szCs w:val="20"/>
                <w:lang w:val="en-GB" w:eastAsia="en-GB"/>
              </w:rPr>
              <w:t>Epistaxis</w:t>
            </w:r>
          </w:p>
        </w:tc>
        <w:tc>
          <w:tcPr>
            <w:tcW w:w="1559" w:type="dxa"/>
          </w:tcPr>
          <w:p w:rsidR="00D03FC4" w:rsidRPr="00A51C11" w:rsidRDefault="00D03FC4" w:rsidP="0084687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03FC4" w:rsidRPr="0001127C" w:rsidRDefault="00D03FC4" w:rsidP="0084687E">
            <w:pPr>
              <w:rPr>
                <w:sz w:val="20"/>
                <w:szCs w:val="20"/>
                <w:lang w:val="en-GB"/>
              </w:rPr>
            </w:pPr>
            <w:r w:rsidRPr="0001127C">
              <w:rPr>
                <w:sz w:val="20"/>
                <w:szCs w:val="20"/>
                <w:lang w:val="en-GB"/>
              </w:rPr>
              <w:t>2 (1.4)</w:t>
            </w:r>
          </w:p>
        </w:tc>
        <w:tc>
          <w:tcPr>
            <w:tcW w:w="7796" w:type="dxa"/>
            <w:shd w:val="clear" w:color="auto" w:fill="auto"/>
          </w:tcPr>
          <w:p w:rsidR="00D03FC4" w:rsidRPr="00A51C11" w:rsidRDefault="00D03FC4" w:rsidP="0084687E">
            <w:pPr>
              <w:ind w:left="170" w:hanging="170"/>
              <w:rPr>
                <w:sz w:val="20"/>
                <w:szCs w:val="20"/>
                <w:highlight w:val="yellow"/>
                <w:lang w:val="en-GB"/>
              </w:rPr>
            </w:pPr>
            <w:proofErr w:type="spellStart"/>
            <w:r w:rsidRPr="005E69ED">
              <w:rPr>
                <w:sz w:val="20"/>
                <w:szCs w:val="20"/>
                <w:lang w:val="en-GB"/>
              </w:rPr>
              <w:t>Mometasone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>Reproductive system and breast disorders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t>29 (3.4)</w:t>
            </w:r>
          </w:p>
        </w:tc>
        <w:tc>
          <w:tcPr>
            <w:tcW w:w="1843" w:type="dxa"/>
            <w:shd w:val="clear" w:color="auto" w:fill="auto"/>
          </w:tcPr>
          <w:p w:rsidR="00D03FC4" w:rsidRPr="00A51C11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A51C11">
              <w:rPr>
                <w:b/>
                <w:sz w:val="20"/>
                <w:szCs w:val="20"/>
                <w:lang w:val="en-GB"/>
              </w:rPr>
              <w:t>5 (3.6)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5E69ED" w:rsidRDefault="00D03FC4" w:rsidP="0084687E">
            <w:pPr>
              <w:rPr>
                <w:sz w:val="20"/>
                <w:szCs w:val="20"/>
                <w:lang w:val="en-GB" w:eastAsia="en-GB"/>
              </w:rPr>
            </w:pPr>
            <w:r w:rsidRPr="005E69ED">
              <w:rPr>
                <w:sz w:val="20"/>
                <w:szCs w:val="20"/>
                <w:lang w:val="en-GB" w:eastAsia="en-GB"/>
              </w:rPr>
              <w:t>Erectile dysfunction</w:t>
            </w:r>
          </w:p>
        </w:tc>
        <w:tc>
          <w:tcPr>
            <w:tcW w:w="1559" w:type="dxa"/>
          </w:tcPr>
          <w:p w:rsidR="00D03FC4" w:rsidRPr="00A51C11" w:rsidRDefault="00D03FC4" w:rsidP="0084687E">
            <w:pPr>
              <w:rPr>
                <w:sz w:val="20"/>
                <w:szCs w:val="20"/>
                <w:lang w:val="en-GB"/>
              </w:rPr>
            </w:pPr>
            <w:r w:rsidRPr="00A51C11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03FC4" w:rsidRPr="0001127C" w:rsidRDefault="00D03FC4" w:rsidP="0084687E">
            <w:pPr>
              <w:rPr>
                <w:sz w:val="20"/>
                <w:szCs w:val="20"/>
                <w:lang w:val="en-GB"/>
              </w:rPr>
            </w:pPr>
            <w:r w:rsidRPr="0001127C">
              <w:rPr>
                <w:sz w:val="20"/>
                <w:szCs w:val="20"/>
                <w:lang w:val="en-GB"/>
              </w:rPr>
              <w:t>2 (1.4)</w:t>
            </w:r>
          </w:p>
        </w:tc>
        <w:tc>
          <w:tcPr>
            <w:tcW w:w="7796" w:type="dxa"/>
            <w:shd w:val="clear" w:color="auto" w:fill="auto"/>
          </w:tcPr>
          <w:p w:rsidR="00D03FC4" w:rsidRPr="005E69ED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proofErr w:type="spellStart"/>
            <w:r w:rsidRPr="005E69ED">
              <w:rPr>
                <w:sz w:val="20"/>
                <w:szCs w:val="20"/>
                <w:lang w:val="en-GB"/>
              </w:rPr>
              <w:t>Enalapril</w:t>
            </w:r>
            <w:proofErr w:type="spellEnd"/>
            <w:r w:rsidRPr="005E69ED">
              <w:rPr>
                <w:sz w:val="20"/>
                <w:szCs w:val="20"/>
                <w:lang w:val="en-GB"/>
              </w:rPr>
              <w:t xml:space="preserve"> 2</w:t>
            </w: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5E69ED" w:rsidRDefault="00D03FC4" w:rsidP="0084687E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 w:rsidRPr="005E69ED">
              <w:rPr>
                <w:sz w:val="20"/>
                <w:szCs w:val="20"/>
                <w:lang w:val="en-GB" w:eastAsia="en-GB"/>
              </w:rPr>
              <w:t>Metrorrhagia</w:t>
            </w:r>
            <w:proofErr w:type="spellEnd"/>
          </w:p>
        </w:tc>
        <w:tc>
          <w:tcPr>
            <w:tcW w:w="1559" w:type="dxa"/>
          </w:tcPr>
          <w:p w:rsidR="00D03FC4" w:rsidRPr="00A51C11" w:rsidRDefault="00D03FC4" w:rsidP="0084687E">
            <w:pPr>
              <w:rPr>
                <w:sz w:val="20"/>
                <w:szCs w:val="20"/>
                <w:lang w:val="en-GB"/>
              </w:rPr>
            </w:pPr>
            <w:r w:rsidRPr="00A51C11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03FC4" w:rsidRPr="0001127C" w:rsidRDefault="00D03FC4" w:rsidP="0084687E">
            <w:pPr>
              <w:rPr>
                <w:sz w:val="20"/>
                <w:szCs w:val="20"/>
                <w:lang w:val="en-GB"/>
              </w:rPr>
            </w:pPr>
            <w:r w:rsidRPr="0001127C">
              <w:rPr>
                <w:sz w:val="20"/>
                <w:szCs w:val="20"/>
                <w:lang w:val="en-GB"/>
              </w:rPr>
              <w:t>2 (1.4)</w:t>
            </w:r>
          </w:p>
        </w:tc>
        <w:tc>
          <w:tcPr>
            <w:tcW w:w="7796" w:type="dxa"/>
            <w:shd w:val="clear" w:color="auto" w:fill="auto"/>
          </w:tcPr>
          <w:p w:rsidR="00D03FC4" w:rsidRPr="005E69ED" w:rsidRDefault="00D03FC4" w:rsidP="0084687E">
            <w:pPr>
              <w:ind w:left="170" w:hanging="170"/>
              <w:rPr>
                <w:b/>
                <w:sz w:val="20"/>
                <w:szCs w:val="20"/>
                <w:lang w:val="en-GB"/>
              </w:rPr>
            </w:pPr>
            <w:r w:rsidRPr="005E69ED">
              <w:rPr>
                <w:b/>
                <w:sz w:val="20"/>
                <w:szCs w:val="20"/>
                <w:lang w:val="en-GB"/>
              </w:rPr>
              <w:t>-</w:t>
            </w:r>
          </w:p>
        </w:tc>
      </w:tr>
      <w:tr w:rsidR="00D03FC4" w:rsidRPr="006741B9" w:rsidTr="0084687E">
        <w:trPr>
          <w:trHeight w:val="178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>Vascular disorders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t>17 (2.0)</w:t>
            </w:r>
          </w:p>
        </w:tc>
        <w:tc>
          <w:tcPr>
            <w:tcW w:w="1843" w:type="dxa"/>
            <w:shd w:val="clear" w:color="auto" w:fill="auto"/>
          </w:tcPr>
          <w:p w:rsidR="00D03FC4" w:rsidRPr="0001127C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01127C">
              <w:rPr>
                <w:b/>
                <w:sz w:val="20"/>
                <w:szCs w:val="20"/>
                <w:lang w:val="en-GB"/>
              </w:rPr>
              <w:t>6 (4.3)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>Investigations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t>14 (1.7)</w:t>
            </w:r>
          </w:p>
        </w:tc>
        <w:tc>
          <w:tcPr>
            <w:tcW w:w="1843" w:type="dxa"/>
            <w:shd w:val="clear" w:color="auto" w:fill="auto"/>
          </w:tcPr>
          <w:p w:rsidR="00D03FC4" w:rsidRPr="0001127C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01127C">
              <w:rPr>
                <w:b/>
                <w:sz w:val="20"/>
                <w:szCs w:val="20"/>
                <w:lang w:val="en-GB"/>
              </w:rPr>
              <w:t>2 (1.4)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b/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6741B9" w:rsidTr="0084687E"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Weight increased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sz w:val="20"/>
                <w:szCs w:val="20"/>
                <w:lang w:val="en-GB"/>
              </w:rPr>
              <w:t>14 (</w:t>
            </w:r>
            <w:r>
              <w:rPr>
                <w:sz w:val="20"/>
                <w:szCs w:val="20"/>
                <w:lang w:val="en-GB"/>
              </w:rPr>
              <w:t>1.7</w:t>
            </w:r>
            <w:r w:rsidRPr="006741B9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FC4" w:rsidRPr="0001127C" w:rsidRDefault="00D03FC4" w:rsidP="0084687E">
            <w:pPr>
              <w:rPr>
                <w:sz w:val="20"/>
                <w:szCs w:val="20"/>
                <w:lang w:val="en-GB"/>
              </w:rPr>
            </w:pPr>
            <w:r w:rsidRPr="0001127C">
              <w:rPr>
                <w:sz w:val="20"/>
                <w:szCs w:val="20"/>
                <w:lang w:val="en-GB"/>
              </w:rPr>
              <w:t>2 (1.4)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Escitalopram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2</w:t>
            </w:r>
          </w:p>
        </w:tc>
      </w:tr>
      <w:tr w:rsidR="00D03FC4" w:rsidRPr="006741B9" w:rsidTr="0084687E">
        <w:trPr>
          <w:trHeight w:hRule="exact" w:val="260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color w:val="000000"/>
                <w:sz w:val="20"/>
                <w:szCs w:val="20"/>
                <w:lang w:val="en-GB" w:eastAsia="en-GB"/>
              </w:rPr>
            </w:pPr>
            <w:r w:rsidRPr="006741B9">
              <w:rPr>
                <w:b/>
                <w:color w:val="000000"/>
                <w:sz w:val="20"/>
                <w:szCs w:val="20"/>
                <w:lang w:val="en-GB" w:eastAsia="en-GB"/>
              </w:rPr>
              <w:t>Renal and urinary disorders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t>14 (1.6)</w:t>
            </w:r>
          </w:p>
        </w:tc>
        <w:tc>
          <w:tcPr>
            <w:tcW w:w="1843" w:type="dxa"/>
            <w:shd w:val="clear" w:color="auto" w:fill="auto"/>
          </w:tcPr>
          <w:p w:rsidR="00D03FC4" w:rsidRPr="0001127C" w:rsidRDefault="00D03FC4" w:rsidP="0084687E">
            <w:pPr>
              <w:rPr>
                <w:sz w:val="20"/>
                <w:szCs w:val="20"/>
                <w:lang w:val="en-GB"/>
              </w:rPr>
            </w:pPr>
            <w:r w:rsidRPr="0001127C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6741B9" w:rsidTr="0084687E">
        <w:trPr>
          <w:trHeight w:val="182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t>Eye disorders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t>10 (1.2)</w:t>
            </w:r>
          </w:p>
        </w:tc>
        <w:tc>
          <w:tcPr>
            <w:tcW w:w="1843" w:type="dxa"/>
            <w:shd w:val="clear" w:color="auto" w:fill="auto"/>
          </w:tcPr>
          <w:p w:rsidR="00D03FC4" w:rsidRPr="001D2B7C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1D2B7C">
              <w:rPr>
                <w:b/>
                <w:sz w:val="20"/>
                <w:szCs w:val="20"/>
                <w:lang w:val="en-GB"/>
              </w:rPr>
              <w:t>3 (2.2)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6741B9" w:rsidTr="0084687E">
        <w:trPr>
          <w:trHeight w:val="182"/>
        </w:trPr>
        <w:tc>
          <w:tcPr>
            <w:tcW w:w="3652" w:type="dxa"/>
            <w:shd w:val="clear" w:color="auto" w:fill="auto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highlight w:val="yellow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t>Metabolism and nutrition disorders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sz w:val="20"/>
                <w:szCs w:val="20"/>
                <w:lang w:val="en-GB"/>
              </w:rPr>
            </w:pPr>
            <w:r w:rsidRPr="006741B9">
              <w:rPr>
                <w:b/>
                <w:sz w:val="20"/>
                <w:szCs w:val="20"/>
                <w:lang w:val="en-GB"/>
              </w:rPr>
              <w:t>9 (1.1)</w:t>
            </w:r>
          </w:p>
        </w:tc>
        <w:tc>
          <w:tcPr>
            <w:tcW w:w="1843" w:type="dxa"/>
            <w:shd w:val="clear" w:color="auto" w:fill="auto"/>
          </w:tcPr>
          <w:p w:rsidR="00D03FC4" w:rsidRPr="001D2B7C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1D2B7C">
              <w:rPr>
                <w:b/>
                <w:sz w:val="20"/>
                <w:szCs w:val="20"/>
                <w:lang w:val="en-GB"/>
              </w:rPr>
              <w:t>2 (1.4)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D03FC4" w:rsidRPr="006741B9" w:rsidTr="0084687E">
        <w:trPr>
          <w:trHeight w:val="182"/>
        </w:trPr>
        <w:tc>
          <w:tcPr>
            <w:tcW w:w="3652" w:type="dxa"/>
            <w:shd w:val="clear" w:color="auto" w:fill="auto"/>
          </w:tcPr>
          <w:p w:rsidR="00D03FC4" w:rsidRPr="001141A2" w:rsidRDefault="00D03FC4" w:rsidP="0084687E">
            <w:pPr>
              <w:rPr>
                <w:sz w:val="20"/>
                <w:szCs w:val="20"/>
                <w:lang w:val="en-GB"/>
              </w:rPr>
            </w:pPr>
            <w:r w:rsidRPr="001141A2">
              <w:rPr>
                <w:sz w:val="20"/>
                <w:szCs w:val="20"/>
                <w:lang w:val="en-GB"/>
              </w:rPr>
              <w:t>Increased appetite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03FC4" w:rsidRPr="0001127C" w:rsidRDefault="00D03FC4" w:rsidP="0084687E">
            <w:pPr>
              <w:rPr>
                <w:sz w:val="20"/>
                <w:szCs w:val="20"/>
                <w:lang w:val="en-GB"/>
              </w:rPr>
            </w:pPr>
            <w:r w:rsidRPr="0001127C">
              <w:rPr>
                <w:sz w:val="20"/>
                <w:szCs w:val="20"/>
                <w:lang w:val="en-GB"/>
              </w:rPr>
              <w:t>2 (1.4)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highlight w:val="yellow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Mirtazapine 2</w:t>
            </w:r>
          </w:p>
        </w:tc>
      </w:tr>
      <w:tr w:rsidR="00D03FC4" w:rsidRPr="006741B9" w:rsidTr="0084687E">
        <w:trPr>
          <w:trHeight w:val="182"/>
        </w:trPr>
        <w:tc>
          <w:tcPr>
            <w:tcW w:w="3652" w:type="dxa"/>
            <w:shd w:val="clear" w:color="auto" w:fill="auto"/>
          </w:tcPr>
          <w:p w:rsidR="00D03FC4" w:rsidRPr="005356DE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5356DE">
              <w:rPr>
                <w:b/>
                <w:sz w:val="20"/>
                <w:szCs w:val="20"/>
                <w:lang w:val="en-GB"/>
              </w:rPr>
              <w:t>Immune system disorders</w:t>
            </w:r>
          </w:p>
        </w:tc>
        <w:tc>
          <w:tcPr>
            <w:tcW w:w="1559" w:type="dxa"/>
          </w:tcPr>
          <w:p w:rsidR="00D03FC4" w:rsidRPr="006741B9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03FC4" w:rsidRPr="001D2B7C" w:rsidRDefault="00D03FC4" w:rsidP="0084687E">
            <w:pPr>
              <w:rPr>
                <w:b/>
                <w:sz w:val="20"/>
                <w:szCs w:val="20"/>
                <w:lang w:val="en-GB"/>
              </w:rPr>
            </w:pPr>
            <w:r w:rsidRPr="001D2B7C">
              <w:rPr>
                <w:b/>
                <w:sz w:val="20"/>
                <w:szCs w:val="20"/>
                <w:lang w:val="en-GB"/>
              </w:rPr>
              <w:t>2 (1.4)</w:t>
            </w:r>
          </w:p>
        </w:tc>
        <w:tc>
          <w:tcPr>
            <w:tcW w:w="7796" w:type="dxa"/>
            <w:shd w:val="clear" w:color="auto" w:fill="auto"/>
          </w:tcPr>
          <w:p w:rsidR="00D03FC4" w:rsidRPr="006741B9" w:rsidRDefault="00D03FC4" w:rsidP="0084687E">
            <w:pPr>
              <w:ind w:left="170" w:hanging="170"/>
              <w:rPr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D03FC4" w:rsidRDefault="00D03FC4" w:rsidP="00D03FC4">
      <w:pPr>
        <w:rPr>
          <w:i/>
          <w:sz w:val="18"/>
          <w:szCs w:val="18"/>
          <w:lang w:val="en-GB" w:eastAsia="en-GB"/>
        </w:rPr>
      </w:pPr>
    </w:p>
    <w:p w:rsidR="00D03FC4" w:rsidRPr="00B8491E" w:rsidRDefault="00D03FC4" w:rsidP="00D03FC4">
      <w:pPr>
        <w:rPr>
          <w:sz w:val="18"/>
          <w:szCs w:val="18"/>
          <w:lang w:val="en-GB" w:eastAsia="en-GB"/>
        </w:rPr>
      </w:pPr>
      <w:r w:rsidRPr="00B8491E">
        <w:rPr>
          <w:sz w:val="18"/>
          <w:szCs w:val="18"/>
          <w:lang w:val="en-GB" w:eastAsia="en-GB"/>
        </w:rPr>
        <w:t>ADR = adverse drug reaction.</w:t>
      </w:r>
    </w:p>
    <w:p w:rsidR="00D03FC4" w:rsidRPr="006741B9" w:rsidRDefault="00D03FC4" w:rsidP="00D03FC4">
      <w:pPr>
        <w:rPr>
          <w:sz w:val="18"/>
          <w:szCs w:val="18"/>
          <w:lang w:val="en-GB"/>
        </w:rPr>
      </w:pPr>
      <w:proofErr w:type="spellStart"/>
      <w:proofErr w:type="gramStart"/>
      <w:r w:rsidRPr="0005653D">
        <w:rPr>
          <w:sz w:val="18"/>
          <w:szCs w:val="18"/>
          <w:vertAlign w:val="superscript"/>
          <w:lang w:val="en-GB" w:eastAsia="en-GB"/>
        </w:rPr>
        <w:t>a</w:t>
      </w:r>
      <w:r w:rsidRPr="0005653D">
        <w:rPr>
          <w:sz w:val="18"/>
          <w:szCs w:val="18"/>
          <w:lang w:val="en-GB" w:eastAsia="en-GB"/>
        </w:rPr>
        <w:t>Representing</w:t>
      </w:r>
      <w:proofErr w:type="spellEnd"/>
      <w:proofErr w:type="gramEnd"/>
      <w:r w:rsidRPr="0005653D">
        <w:rPr>
          <w:sz w:val="18"/>
          <w:szCs w:val="18"/>
          <w:lang w:val="en-GB" w:eastAsia="en-GB"/>
        </w:rPr>
        <w:t xml:space="preserve"> ≥1</w:t>
      </w:r>
      <w:r>
        <w:rPr>
          <w:sz w:val="18"/>
          <w:szCs w:val="18"/>
          <w:lang w:val="en-GB" w:eastAsia="en-GB"/>
        </w:rPr>
        <w:t xml:space="preserve">% of all or preventable ADRs. </w:t>
      </w:r>
      <w:proofErr w:type="gramStart"/>
      <w:r>
        <w:rPr>
          <w:sz w:val="18"/>
          <w:szCs w:val="18"/>
          <w:lang w:val="en-GB" w:eastAsia="en-GB"/>
        </w:rPr>
        <w:t>According to the S</w:t>
      </w:r>
      <w:r w:rsidRPr="006741B9">
        <w:rPr>
          <w:sz w:val="18"/>
          <w:szCs w:val="18"/>
          <w:lang w:val="en-GB" w:eastAsia="en-GB"/>
        </w:rPr>
        <w:t xml:space="preserve">ystem Organ Classes according to the </w:t>
      </w:r>
      <w:r w:rsidRPr="006741B9">
        <w:rPr>
          <w:sz w:val="18"/>
          <w:szCs w:val="18"/>
          <w:lang w:val="en-GB"/>
        </w:rPr>
        <w:t>Medical Dictionary for Regulatory Activities (</w:t>
      </w:r>
      <w:proofErr w:type="spellStart"/>
      <w:r w:rsidRPr="006741B9">
        <w:rPr>
          <w:sz w:val="18"/>
          <w:szCs w:val="18"/>
          <w:lang w:val="en-GB"/>
        </w:rPr>
        <w:t>MedDRA</w:t>
      </w:r>
      <w:proofErr w:type="spellEnd"/>
      <w:r w:rsidRPr="006741B9">
        <w:rPr>
          <w:sz w:val="18"/>
          <w:szCs w:val="18"/>
          <w:lang w:val="en-GB"/>
        </w:rPr>
        <w:t>)</w:t>
      </w:r>
      <w:r w:rsidRPr="0046793A">
        <w:rPr>
          <w:sz w:val="18"/>
          <w:szCs w:val="18"/>
          <w:lang w:val="en-GB"/>
        </w:rPr>
        <w:t xml:space="preserve"> </w:t>
      </w:r>
      <w:r w:rsidR="00607ED0">
        <w:rPr>
          <w:sz w:val="18"/>
          <w:szCs w:val="18"/>
          <w:lang w:val="en-GB"/>
        </w:rPr>
        <w:fldChar w:fldCharType="begin"/>
      </w:r>
      <w:r>
        <w:rPr>
          <w:sz w:val="18"/>
          <w:szCs w:val="18"/>
          <w:lang w:val="en-GB"/>
        </w:rPr>
        <w:instrText>ADDIN RW.CITE{{346 Medical Dictionary for Regulatory Activities 2011}}</w:instrText>
      </w:r>
      <w:r w:rsidR="00607ED0">
        <w:rPr>
          <w:sz w:val="18"/>
          <w:szCs w:val="18"/>
          <w:lang w:val="en-GB"/>
        </w:rPr>
        <w:fldChar w:fldCharType="separate"/>
      </w:r>
      <w:r>
        <w:rPr>
          <w:sz w:val="18"/>
          <w:szCs w:val="18"/>
          <w:lang w:val="en-GB"/>
        </w:rPr>
        <w:t>[46]</w:t>
      </w:r>
      <w:r w:rsidR="00607ED0">
        <w:rPr>
          <w:sz w:val="18"/>
          <w:szCs w:val="18"/>
          <w:lang w:val="en-GB"/>
        </w:rPr>
        <w:fldChar w:fldCharType="end"/>
      </w:r>
      <w:r w:rsidRPr="006741B9">
        <w:rPr>
          <w:sz w:val="18"/>
          <w:szCs w:val="18"/>
          <w:lang w:val="en-GB"/>
        </w:rPr>
        <w:t>.</w:t>
      </w:r>
      <w:proofErr w:type="gramEnd"/>
      <w:r w:rsidRPr="006741B9">
        <w:rPr>
          <w:sz w:val="18"/>
          <w:szCs w:val="18"/>
          <w:lang w:val="en-GB"/>
        </w:rPr>
        <w:t xml:space="preserve"> For 11 (1.30%) ADRs, the System Orga</w:t>
      </w:r>
      <w:r>
        <w:rPr>
          <w:sz w:val="18"/>
          <w:szCs w:val="18"/>
          <w:lang w:val="en-GB"/>
        </w:rPr>
        <w:t>n Class could not be determined.</w:t>
      </w:r>
    </w:p>
    <w:p w:rsidR="00D03FC4" w:rsidRDefault="00D03FC4" w:rsidP="00D03FC4">
      <w:pPr>
        <w:rPr>
          <w:sz w:val="18"/>
          <w:szCs w:val="18"/>
          <w:lang w:val="en-GB"/>
        </w:rPr>
      </w:pPr>
      <w:proofErr w:type="spellStart"/>
      <w:proofErr w:type="gramStart"/>
      <w:r>
        <w:rPr>
          <w:sz w:val="18"/>
          <w:szCs w:val="18"/>
          <w:vertAlign w:val="superscript"/>
          <w:lang w:val="en-GB" w:eastAsia="en-GB"/>
        </w:rPr>
        <w:t>b</w:t>
      </w:r>
      <w:r>
        <w:rPr>
          <w:sz w:val="18"/>
          <w:szCs w:val="18"/>
          <w:lang w:val="en-GB" w:eastAsia="en-GB"/>
        </w:rPr>
        <w:t>Representing</w:t>
      </w:r>
      <w:proofErr w:type="spellEnd"/>
      <w:proofErr w:type="gramEnd"/>
      <w:r>
        <w:rPr>
          <w:sz w:val="18"/>
          <w:szCs w:val="18"/>
          <w:lang w:val="en-GB" w:eastAsia="en-GB"/>
        </w:rPr>
        <w:t xml:space="preserve"> ≥1% of all or preventable ADRs. </w:t>
      </w:r>
      <w:proofErr w:type="gramStart"/>
      <w:r w:rsidRPr="006741B9">
        <w:rPr>
          <w:sz w:val="18"/>
          <w:szCs w:val="18"/>
          <w:lang w:val="en-GB"/>
        </w:rPr>
        <w:t>According to the Preferred Terms</w:t>
      </w:r>
      <w:r w:rsidRPr="006741B9">
        <w:rPr>
          <w:sz w:val="18"/>
          <w:szCs w:val="18"/>
          <w:lang w:val="en-GB" w:eastAsia="en-GB"/>
        </w:rPr>
        <w:t xml:space="preserve"> of the </w:t>
      </w:r>
      <w:r w:rsidRPr="006741B9">
        <w:rPr>
          <w:sz w:val="18"/>
          <w:szCs w:val="18"/>
          <w:lang w:val="en-GB"/>
        </w:rPr>
        <w:t>Medical Dictionary for Regulatory Activities (</w:t>
      </w:r>
      <w:proofErr w:type="spellStart"/>
      <w:r w:rsidRPr="006741B9">
        <w:rPr>
          <w:sz w:val="18"/>
          <w:szCs w:val="18"/>
          <w:lang w:val="en-GB"/>
        </w:rPr>
        <w:t>MedDRA</w:t>
      </w:r>
      <w:proofErr w:type="spellEnd"/>
      <w:r w:rsidRPr="006741B9">
        <w:rPr>
          <w:sz w:val="18"/>
          <w:szCs w:val="18"/>
          <w:lang w:val="en-GB"/>
        </w:rPr>
        <w:t>)</w:t>
      </w:r>
      <w:r w:rsidRPr="0046793A">
        <w:rPr>
          <w:sz w:val="18"/>
          <w:szCs w:val="18"/>
          <w:lang w:val="en-GB"/>
        </w:rPr>
        <w:t xml:space="preserve"> </w:t>
      </w:r>
      <w:r w:rsidR="00607ED0">
        <w:rPr>
          <w:sz w:val="18"/>
          <w:szCs w:val="18"/>
          <w:lang w:val="en-GB"/>
        </w:rPr>
        <w:fldChar w:fldCharType="begin"/>
      </w:r>
      <w:r>
        <w:rPr>
          <w:sz w:val="18"/>
          <w:szCs w:val="18"/>
          <w:lang w:val="en-GB"/>
        </w:rPr>
        <w:instrText>ADDIN RW.CITE{{346 Medical Dictionary for Regulatory Activities 2011}}</w:instrText>
      </w:r>
      <w:r w:rsidR="00607ED0">
        <w:rPr>
          <w:sz w:val="18"/>
          <w:szCs w:val="18"/>
          <w:lang w:val="en-GB"/>
        </w:rPr>
        <w:fldChar w:fldCharType="separate"/>
      </w:r>
      <w:r>
        <w:rPr>
          <w:sz w:val="18"/>
          <w:szCs w:val="18"/>
          <w:lang w:val="en-GB"/>
        </w:rPr>
        <w:t>[46]</w:t>
      </w:r>
      <w:r w:rsidR="00607ED0">
        <w:rPr>
          <w:sz w:val="18"/>
          <w:szCs w:val="18"/>
          <w:lang w:val="en-GB"/>
        </w:rPr>
        <w:fldChar w:fldCharType="end"/>
      </w:r>
      <w:r>
        <w:rPr>
          <w:sz w:val="18"/>
          <w:szCs w:val="18"/>
          <w:lang w:val="en-GB"/>
        </w:rPr>
        <w:t>.</w:t>
      </w:r>
      <w:proofErr w:type="gramEnd"/>
    </w:p>
    <w:p w:rsidR="00D03FC4" w:rsidRDefault="00D03FC4" w:rsidP="00D03FC4">
      <w:pPr>
        <w:rPr>
          <w:b/>
          <w:color w:val="000000"/>
          <w:lang w:val="en-GB" w:eastAsia="en-GB"/>
        </w:rPr>
      </w:pPr>
      <w:proofErr w:type="spellStart"/>
      <w:proofErr w:type="gramStart"/>
      <w:r>
        <w:rPr>
          <w:sz w:val="18"/>
          <w:szCs w:val="18"/>
          <w:vertAlign w:val="superscript"/>
          <w:lang w:val="en-GB" w:eastAsia="en-GB"/>
        </w:rPr>
        <w:t>c</w:t>
      </w:r>
      <w:r w:rsidRPr="006741B9">
        <w:rPr>
          <w:sz w:val="18"/>
          <w:szCs w:val="18"/>
          <w:lang w:val="en-GB" w:eastAsia="en-GB"/>
        </w:rPr>
        <w:t>Chemical</w:t>
      </w:r>
      <w:proofErr w:type="spellEnd"/>
      <w:proofErr w:type="gramEnd"/>
      <w:r w:rsidRPr="006741B9">
        <w:rPr>
          <w:sz w:val="18"/>
          <w:szCs w:val="18"/>
          <w:lang w:val="en-GB" w:eastAsia="en-GB"/>
        </w:rPr>
        <w:t xml:space="preserve"> substances (5</w:t>
      </w:r>
      <w:r w:rsidRPr="006741B9">
        <w:rPr>
          <w:sz w:val="18"/>
          <w:szCs w:val="18"/>
          <w:vertAlign w:val="superscript"/>
          <w:lang w:val="en-GB" w:eastAsia="en-GB"/>
        </w:rPr>
        <w:t>th</w:t>
      </w:r>
      <w:r w:rsidRPr="006741B9">
        <w:rPr>
          <w:sz w:val="18"/>
          <w:szCs w:val="18"/>
          <w:lang w:val="en-GB" w:eastAsia="en-GB"/>
        </w:rPr>
        <w:t xml:space="preserve"> level) of the Anatomical Therapeutic Chemical (ATC) Classification System </w:t>
      </w:r>
      <w:r w:rsidR="00607ED0">
        <w:rPr>
          <w:sz w:val="18"/>
          <w:szCs w:val="18"/>
          <w:lang w:val="en-GB" w:eastAsia="en-GB"/>
        </w:rPr>
        <w:fldChar w:fldCharType="begin"/>
      </w:r>
      <w:r>
        <w:rPr>
          <w:sz w:val="18"/>
          <w:szCs w:val="18"/>
          <w:lang w:val="en-GB" w:eastAsia="en-GB"/>
        </w:rPr>
        <w:instrText>ADDIN RW.CITE{{364 World Health Organization 2009}}</w:instrText>
      </w:r>
      <w:r w:rsidR="00607ED0">
        <w:rPr>
          <w:sz w:val="18"/>
          <w:szCs w:val="18"/>
          <w:lang w:val="en-GB" w:eastAsia="en-GB"/>
        </w:rPr>
        <w:fldChar w:fldCharType="separate"/>
      </w:r>
      <w:r>
        <w:rPr>
          <w:sz w:val="18"/>
          <w:szCs w:val="18"/>
          <w:lang w:val="en-GB" w:eastAsia="en-GB"/>
        </w:rPr>
        <w:t>[43]</w:t>
      </w:r>
      <w:r w:rsidR="00607ED0">
        <w:rPr>
          <w:sz w:val="18"/>
          <w:szCs w:val="18"/>
          <w:lang w:val="en-GB" w:eastAsia="en-GB"/>
        </w:rPr>
        <w:fldChar w:fldCharType="end"/>
      </w:r>
      <w:r>
        <w:rPr>
          <w:sz w:val="18"/>
          <w:szCs w:val="18"/>
          <w:lang w:val="en-GB" w:eastAsia="en-GB"/>
        </w:rPr>
        <w:t>. As multiple drugs may be associated with one ADR, the number of drugs may exceed the number of ADRs.</w:t>
      </w:r>
    </w:p>
    <w:p w:rsidR="00D03FC4" w:rsidRPr="0014353B" w:rsidRDefault="00D03FC4" w:rsidP="00D03FC4">
      <w:pPr>
        <w:rPr>
          <w:lang w:val="en-GB"/>
        </w:rPr>
      </w:pPr>
    </w:p>
    <w:p w:rsidR="00D03FC4" w:rsidRDefault="00D03FC4" w:rsidP="00D03FC4">
      <w:pPr>
        <w:spacing w:line="480" w:lineRule="auto"/>
        <w:rPr>
          <w:b/>
          <w:color w:val="000000"/>
          <w:lang w:val="en-GB" w:eastAsia="en-GB"/>
        </w:rPr>
      </w:pPr>
    </w:p>
    <w:p w:rsidR="002868B4" w:rsidRPr="00CD31CE" w:rsidRDefault="002868B4" w:rsidP="00CD31CE">
      <w:pPr>
        <w:rPr>
          <w:lang w:val="en-GB"/>
        </w:rPr>
      </w:pPr>
    </w:p>
    <w:sectPr w:rsidR="002868B4" w:rsidRPr="00CD31CE" w:rsidSect="001435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63B"/>
    <w:multiLevelType w:val="hybridMultilevel"/>
    <w:tmpl w:val="478C426E"/>
    <w:lvl w:ilvl="0" w:tplc="9162E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E0203"/>
    <w:multiLevelType w:val="hybridMultilevel"/>
    <w:tmpl w:val="01707BC6"/>
    <w:lvl w:ilvl="0" w:tplc="89867F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87248"/>
    <w:multiLevelType w:val="hybridMultilevel"/>
    <w:tmpl w:val="835CDEEC"/>
    <w:lvl w:ilvl="0" w:tplc="8626D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52F6B"/>
    <w:multiLevelType w:val="hybridMultilevel"/>
    <w:tmpl w:val="67406A92"/>
    <w:lvl w:ilvl="0" w:tplc="23223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A549A"/>
    <w:multiLevelType w:val="hybridMultilevel"/>
    <w:tmpl w:val="07FE0154"/>
    <w:lvl w:ilvl="0" w:tplc="70340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E3947"/>
    <w:multiLevelType w:val="hybridMultilevel"/>
    <w:tmpl w:val="50B6BF7E"/>
    <w:lvl w:ilvl="0" w:tplc="9970C294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32EAE"/>
    <w:multiLevelType w:val="hybridMultilevel"/>
    <w:tmpl w:val="33941574"/>
    <w:lvl w:ilvl="0" w:tplc="F9967D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42400"/>
    <w:multiLevelType w:val="hybridMultilevel"/>
    <w:tmpl w:val="31620B50"/>
    <w:lvl w:ilvl="0" w:tplc="30C2D41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E414B35"/>
    <w:multiLevelType w:val="hybridMultilevel"/>
    <w:tmpl w:val="A644F2F2"/>
    <w:lvl w:ilvl="0" w:tplc="9C8E6EF8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D48E8"/>
    <w:multiLevelType w:val="hybridMultilevel"/>
    <w:tmpl w:val="FED4A788"/>
    <w:lvl w:ilvl="0" w:tplc="108AC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27A64"/>
    <w:multiLevelType w:val="hybridMultilevel"/>
    <w:tmpl w:val="46B4C158"/>
    <w:lvl w:ilvl="0" w:tplc="FC3878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F31038"/>
    <w:multiLevelType w:val="hybridMultilevel"/>
    <w:tmpl w:val="6E3E9DB8"/>
    <w:lvl w:ilvl="0" w:tplc="0AE66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C787E"/>
    <w:multiLevelType w:val="hybridMultilevel"/>
    <w:tmpl w:val="FC3AF0B2"/>
    <w:lvl w:ilvl="0" w:tplc="A4143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F3C27"/>
    <w:multiLevelType w:val="hybridMultilevel"/>
    <w:tmpl w:val="478C426E"/>
    <w:lvl w:ilvl="0" w:tplc="9162E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32C15"/>
    <w:multiLevelType w:val="hybridMultilevel"/>
    <w:tmpl w:val="B900ACA6"/>
    <w:lvl w:ilvl="0" w:tplc="F734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C259E"/>
    <w:multiLevelType w:val="hybridMultilevel"/>
    <w:tmpl w:val="3872F502"/>
    <w:lvl w:ilvl="0" w:tplc="44A010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3B"/>
    <w:rsid w:val="0000320C"/>
    <w:rsid w:val="00061140"/>
    <w:rsid w:val="001115C6"/>
    <w:rsid w:val="0014353B"/>
    <w:rsid w:val="0017002B"/>
    <w:rsid w:val="0018004A"/>
    <w:rsid w:val="002762EE"/>
    <w:rsid w:val="002868B4"/>
    <w:rsid w:val="002C22D0"/>
    <w:rsid w:val="002E6C83"/>
    <w:rsid w:val="00382422"/>
    <w:rsid w:val="00436FDD"/>
    <w:rsid w:val="004E68DF"/>
    <w:rsid w:val="00607ED0"/>
    <w:rsid w:val="007D5E80"/>
    <w:rsid w:val="007F0E1A"/>
    <w:rsid w:val="00810362"/>
    <w:rsid w:val="009262E3"/>
    <w:rsid w:val="009B4C50"/>
    <w:rsid w:val="009C7D25"/>
    <w:rsid w:val="00B342A2"/>
    <w:rsid w:val="00B51623"/>
    <w:rsid w:val="00B55A64"/>
    <w:rsid w:val="00B8491E"/>
    <w:rsid w:val="00CD31CE"/>
    <w:rsid w:val="00D03FC4"/>
    <w:rsid w:val="00E0531B"/>
    <w:rsid w:val="00E76473"/>
    <w:rsid w:val="00FB617C"/>
    <w:rsid w:val="00F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CD3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D3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D31C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6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68B4"/>
    <w:rPr>
      <w:rFonts w:ascii="Tahoma" w:eastAsia="Times New Roman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rsid w:val="00CD31C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CD31CE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CD31CE"/>
    <w:rPr>
      <w:rFonts w:ascii="Cambria" w:eastAsia="Times New Roman" w:hAnsi="Cambria" w:cs="Times New Roman"/>
      <w:b/>
      <w:bCs/>
      <w:sz w:val="26"/>
      <w:szCs w:val="26"/>
    </w:rPr>
  </w:style>
  <w:style w:type="character" w:styleId="Kommentarsreferens">
    <w:name w:val="annotation reference"/>
    <w:uiPriority w:val="99"/>
    <w:semiHidden/>
    <w:rsid w:val="00CD31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CD31C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31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ubrik2KH">
    <w:name w:val="Rubrik 2 (KH)"/>
    <w:basedOn w:val="Rubrik2"/>
    <w:qFormat/>
    <w:rsid w:val="00CD31CE"/>
    <w:pPr>
      <w:keepLines w:val="0"/>
      <w:spacing w:before="0"/>
    </w:pPr>
    <w:rPr>
      <w:rFonts w:ascii="Times New Roman" w:hAnsi="Times New Roman"/>
      <w:iCs/>
      <w:color w:val="auto"/>
      <w:sz w:val="24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D31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31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D31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31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nk">
    <w:name w:val="Hyperlink"/>
    <w:uiPriority w:val="99"/>
    <w:unhideWhenUsed/>
    <w:rsid w:val="00CD31C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CD31CE"/>
    <w:pPr>
      <w:spacing w:before="100" w:beforeAutospacing="1" w:after="100" w:afterAutospacing="1"/>
    </w:pPr>
    <w:rPr>
      <w:lang w:val="en-GB" w:eastAsia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31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31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lrutnt">
    <w:name w:val="Table Grid"/>
    <w:basedOn w:val="Normaltabell"/>
    <w:uiPriority w:val="59"/>
    <w:rsid w:val="00CD31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stycketeckensnitt"/>
    <w:rsid w:val="00CD31CE"/>
  </w:style>
  <w:style w:type="paragraph" w:styleId="Revision">
    <w:name w:val="Revision"/>
    <w:hidden/>
    <w:uiPriority w:val="99"/>
    <w:semiHidden/>
    <w:rsid w:val="00CD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Standardstycketeckensnitt"/>
    <w:rsid w:val="00CD31CE"/>
  </w:style>
  <w:style w:type="character" w:styleId="AnvndHyperlnk">
    <w:name w:val="FollowedHyperlink"/>
    <w:uiPriority w:val="99"/>
    <w:semiHidden/>
    <w:unhideWhenUsed/>
    <w:rsid w:val="00CD31CE"/>
    <w:rPr>
      <w:color w:val="800080"/>
      <w:u w:val="single"/>
    </w:rPr>
  </w:style>
  <w:style w:type="character" w:styleId="Stark">
    <w:name w:val="Strong"/>
    <w:uiPriority w:val="22"/>
    <w:qFormat/>
    <w:rsid w:val="00CD31CE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D31CE"/>
    <w:rPr>
      <w:rFonts w:ascii="Consolas" w:eastAsia="Calibri" w:hAnsi="Consolas"/>
      <w:sz w:val="21"/>
      <w:szCs w:val="21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D31CE"/>
    <w:rPr>
      <w:rFonts w:ascii="Consolas" w:eastAsia="Calibri" w:hAnsi="Consolas" w:cs="Times New Roman"/>
      <w:sz w:val="21"/>
      <w:szCs w:val="21"/>
    </w:rPr>
  </w:style>
  <w:style w:type="character" w:styleId="Radnummer">
    <w:name w:val="line number"/>
    <w:uiPriority w:val="99"/>
    <w:semiHidden/>
    <w:unhideWhenUsed/>
    <w:rsid w:val="00CD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qFormat/>
    <w:rsid w:val="00CD3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D31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D31C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68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68B4"/>
    <w:rPr>
      <w:rFonts w:ascii="Tahoma" w:eastAsia="Times New Roman" w:hAnsi="Tahoma" w:cs="Tahoma"/>
      <w:sz w:val="16"/>
      <w:szCs w:val="16"/>
      <w:lang w:val="en-US"/>
    </w:rPr>
  </w:style>
  <w:style w:type="character" w:customStyle="1" w:styleId="Rubrik1Char">
    <w:name w:val="Rubrik 1 Char"/>
    <w:basedOn w:val="Standardstycketeckensnitt"/>
    <w:link w:val="Rubrik1"/>
    <w:rsid w:val="00CD31C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CD31CE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CD31CE"/>
    <w:rPr>
      <w:rFonts w:ascii="Cambria" w:eastAsia="Times New Roman" w:hAnsi="Cambria" w:cs="Times New Roman"/>
      <w:b/>
      <w:bCs/>
      <w:sz w:val="26"/>
      <w:szCs w:val="26"/>
    </w:rPr>
  </w:style>
  <w:style w:type="character" w:styleId="Kommentarsreferens">
    <w:name w:val="annotation reference"/>
    <w:uiPriority w:val="99"/>
    <w:semiHidden/>
    <w:rsid w:val="00CD31C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CD31C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31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Rubrik2KH">
    <w:name w:val="Rubrik 2 (KH)"/>
    <w:basedOn w:val="Rubrik2"/>
    <w:qFormat/>
    <w:rsid w:val="00CD31CE"/>
    <w:pPr>
      <w:keepLines w:val="0"/>
      <w:spacing w:before="0"/>
    </w:pPr>
    <w:rPr>
      <w:rFonts w:ascii="Times New Roman" w:hAnsi="Times New Roman"/>
      <w:iCs/>
      <w:color w:val="auto"/>
      <w:sz w:val="24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D31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31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D31C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31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nk">
    <w:name w:val="Hyperlink"/>
    <w:uiPriority w:val="99"/>
    <w:unhideWhenUsed/>
    <w:rsid w:val="00CD31CE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CD31CE"/>
    <w:pPr>
      <w:spacing w:before="100" w:beforeAutospacing="1" w:after="100" w:afterAutospacing="1"/>
    </w:pPr>
    <w:rPr>
      <w:lang w:val="en-GB" w:eastAsia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31C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31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ellrutnt">
    <w:name w:val="Table Grid"/>
    <w:basedOn w:val="Normaltabell"/>
    <w:uiPriority w:val="59"/>
    <w:rsid w:val="00CD31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stycketeckensnitt"/>
    <w:rsid w:val="00CD31CE"/>
  </w:style>
  <w:style w:type="paragraph" w:styleId="Revision">
    <w:name w:val="Revision"/>
    <w:hidden/>
    <w:uiPriority w:val="99"/>
    <w:semiHidden/>
    <w:rsid w:val="00CD3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Standardstycketeckensnitt"/>
    <w:rsid w:val="00CD31CE"/>
  </w:style>
  <w:style w:type="character" w:styleId="AnvndHyperlnk">
    <w:name w:val="FollowedHyperlink"/>
    <w:uiPriority w:val="99"/>
    <w:semiHidden/>
    <w:unhideWhenUsed/>
    <w:rsid w:val="00CD31CE"/>
    <w:rPr>
      <w:color w:val="800080"/>
      <w:u w:val="single"/>
    </w:rPr>
  </w:style>
  <w:style w:type="character" w:styleId="Stark">
    <w:name w:val="Strong"/>
    <w:uiPriority w:val="22"/>
    <w:qFormat/>
    <w:rsid w:val="00CD31CE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D31CE"/>
    <w:rPr>
      <w:rFonts w:ascii="Consolas" w:eastAsia="Calibri" w:hAnsi="Consolas"/>
      <w:sz w:val="21"/>
      <w:szCs w:val="21"/>
      <w:lang w:val="en-GB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D31CE"/>
    <w:rPr>
      <w:rFonts w:ascii="Consolas" w:eastAsia="Calibri" w:hAnsi="Consolas" w:cs="Times New Roman"/>
      <w:sz w:val="21"/>
      <w:szCs w:val="21"/>
    </w:rPr>
  </w:style>
  <w:style w:type="character" w:styleId="Radnummer">
    <w:name w:val="line number"/>
    <w:uiPriority w:val="99"/>
    <w:semiHidden/>
    <w:unhideWhenUsed/>
    <w:rsid w:val="00CD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NHV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M Hakkarainen</dc:creator>
  <cp:lastModifiedBy>Katja M Hakkarainen</cp:lastModifiedBy>
  <cp:revision>3</cp:revision>
  <cp:lastPrinted>2013-07-11T08:39:00Z</cp:lastPrinted>
  <dcterms:created xsi:type="dcterms:W3CDTF">2013-07-31T15:19:00Z</dcterms:created>
  <dcterms:modified xsi:type="dcterms:W3CDTF">2013-07-31T15:24:00Z</dcterms:modified>
</cp:coreProperties>
</file>