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07" w:rsidRDefault="00630F08">
      <w:r>
        <w:t>Table S1.</w:t>
      </w:r>
      <w:r w:rsidRPr="00206107">
        <w:rPr>
          <w:b/>
        </w:rPr>
        <w:t xml:space="preserve"> Regression analysis fo</w:t>
      </w:r>
      <w:r w:rsidR="00206107" w:rsidRPr="00206107">
        <w:rPr>
          <w:b/>
        </w:rPr>
        <w:t>r the association between environmental variables, starvation resistance and body size</w:t>
      </w:r>
      <w:r w:rsidR="00206107">
        <w:t xml:space="preserve"> </w:t>
      </w:r>
    </w:p>
    <w:p w:rsidR="006067BB" w:rsidRDefault="006067BB"/>
    <w:p w:rsidR="00B56F68" w:rsidRDefault="00206107" w:rsidP="006067BB">
      <w:proofErr w:type="gramStart"/>
      <w:r>
        <w:t xml:space="preserve">Relationship between </w:t>
      </w:r>
      <w:r w:rsidR="00630F08">
        <w:t>starvation resistance (</w:t>
      </w:r>
      <w:proofErr w:type="spellStart"/>
      <w:r w:rsidR="00630F08">
        <w:t>starv</w:t>
      </w:r>
      <w:proofErr w:type="spellEnd"/>
      <w:r w:rsidR="00630F08">
        <w:t xml:space="preserve">) and </w:t>
      </w:r>
      <w:r w:rsidR="00576C7B">
        <w:t xml:space="preserve">body size for latitude and seven </w:t>
      </w:r>
      <w:r w:rsidR="00630F08">
        <w:t>environmental variables; annual mean temperature (amt),</w:t>
      </w:r>
      <w:r w:rsidR="00576C7B">
        <w:t xml:space="preserve"> </w:t>
      </w:r>
      <w:r w:rsidR="00630F08">
        <w:t>maximum temperature of the warmest month (</w:t>
      </w:r>
      <w:proofErr w:type="spellStart"/>
      <w:r w:rsidR="00630F08">
        <w:t>T</w:t>
      </w:r>
      <w:r w:rsidR="00630F08" w:rsidRPr="00630F08">
        <w:rPr>
          <w:vertAlign w:val="subscript"/>
        </w:rPr>
        <w:t>max</w:t>
      </w:r>
      <w:proofErr w:type="spellEnd"/>
      <w:r w:rsidR="00630F08">
        <w:t>)</w:t>
      </w:r>
      <w:r w:rsidR="00576C7B">
        <w:t>, temperature seasonality (</w:t>
      </w:r>
      <w:proofErr w:type="spellStart"/>
      <w:r w:rsidR="00576C7B">
        <w:t>Tsea</w:t>
      </w:r>
      <w:proofErr w:type="spellEnd"/>
      <w:r w:rsidR="00576C7B">
        <w:t>), log</w:t>
      </w:r>
      <w:r w:rsidR="00630F08">
        <w:t xml:space="preserve"> annual precipitation (</w:t>
      </w:r>
      <w:proofErr w:type="spellStart"/>
      <w:r w:rsidR="00630F08">
        <w:t>P</w:t>
      </w:r>
      <w:r w:rsidR="00F910A8" w:rsidRPr="00F910A8">
        <w:t>ann</w:t>
      </w:r>
      <w:proofErr w:type="spellEnd"/>
      <w:r w:rsidR="00630F08">
        <w:t>).</w:t>
      </w:r>
      <w:proofErr w:type="gramEnd"/>
      <w:r w:rsidR="00576C7B">
        <w:t xml:space="preserve"> </w:t>
      </w:r>
      <w:proofErr w:type="gramStart"/>
      <w:r w:rsidR="00576C7B">
        <w:t>precipitation</w:t>
      </w:r>
      <w:proofErr w:type="gramEnd"/>
      <w:r w:rsidR="00576C7B">
        <w:t xml:space="preserve"> of the driest month (</w:t>
      </w:r>
      <w:proofErr w:type="spellStart"/>
      <w:r w:rsidR="00576C7B">
        <w:t>Pdry</w:t>
      </w:r>
      <w:proofErr w:type="spellEnd"/>
      <w:r w:rsidR="00576C7B">
        <w:t>), precipitation of the wettest month (</w:t>
      </w:r>
      <w:proofErr w:type="spellStart"/>
      <w:r w:rsidR="00576C7B">
        <w:t>Pwet</w:t>
      </w:r>
      <w:proofErr w:type="spellEnd"/>
      <w:r w:rsidR="00576C7B">
        <w:t>) and precipitation seasonality (</w:t>
      </w:r>
      <w:proofErr w:type="spellStart"/>
      <w:r w:rsidR="00576C7B">
        <w:t>Psea</w:t>
      </w:r>
      <w:proofErr w:type="spellEnd"/>
      <w:r w:rsidR="00576C7B">
        <w:t>).</w:t>
      </w:r>
      <w:r w:rsidR="006067BB">
        <w:t xml:space="preserve">A multiple regression approach was taken to examine the relationship between starvation and body size and multiple environmental variables. </w:t>
      </w:r>
      <w:proofErr w:type="gramStart"/>
      <w:r w:rsidR="006067BB">
        <w:t xml:space="preserve">The </w:t>
      </w:r>
      <w:r w:rsidR="006067BB" w:rsidRPr="00E9262D">
        <w:t xml:space="preserve"> explanatory</w:t>
      </w:r>
      <w:proofErr w:type="gramEnd"/>
      <w:r w:rsidR="006067BB" w:rsidRPr="00E9262D">
        <w:t xml:space="preserve"> power of both</w:t>
      </w:r>
      <w:r w:rsidR="006067BB">
        <w:t xml:space="preserve"> the single and multiple predictor models is given</w:t>
      </w:r>
      <w:r w:rsidR="006067BB" w:rsidRPr="00E9262D">
        <w:t>. Significant</w:t>
      </w:r>
      <w:r w:rsidR="006067BB">
        <w:t xml:space="preserve"> </w:t>
      </w:r>
      <w:r w:rsidR="006067BB" w:rsidRPr="00EA31E1">
        <w:rPr>
          <w:i/>
        </w:rPr>
        <w:t>P</w:t>
      </w:r>
      <w:r w:rsidR="006067BB" w:rsidRPr="00E9262D">
        <w:t xml:space="preserve"> values</w:t>
      </w:r>
      <w:r w:rsidR="006067BB">
        <w:t xml:space="preserve"> and the model with the best </w:t>
      </w:r>
      <w:proofErr w:type="spellStart"/>
      <w:r w:rsidR="006067BB">
        <w:t>Akaike</w:t>
      </w:r>
      <w:proofErr w:type="spellEnd"/>
      <w:r w:rsidR="006067BB">
        <w:t xml:space="preserve"> Information Criterion (AIC) are highlighted in bold</w:t>
      </w:r>
      <w:r w:rsidR="006067BB" w:rsidRPr="00E9262D">
        <w:t>.</w:t>
      </w:r>
    </w:p>
    <w:p w:rsidR="00576C7B" w:rsidRDefault="00576C7B"/>
    <w:tbl>
      <w:tblPr>
        <w:tblStyle w:val="TableGrid"/>
        <w:tblW w:w="9712" w:type="dxa"/>
        <w:tblLayout w:type="fixed"/>
        <w:tblLook w:val="04A0"/>
      </w:tblPr>
      <w:tblGrid>
        <w:gridCol w:w="1725"/>
        <w:gridCol w:w="872"/>
        <w:gridCol w:w="1065"/>
        <w:gridCol w:w="1001"/>
        <w:gridCol w:w="876"/>
        <w:gridCol w:w="876"/>
        <w:gridCol w:w="1065"/>
        <w:gridCol w:w="1116"/>
        <w:gridCol w:w="1116"/>
      </w:tblGrid>
      <w:tr w:rsidR="00C214FB" w:rsidRPr="002E6A93" w:rsidTr="00C214FB"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4FB" w:rsidRPr="002E6A93" w:rsidRDefault="00C214FB" w:rsidP="00086217"/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4FB" w:rsidRDefault="00C214FB" w:rsidP="00086217">
            <w:pPr>
              <w:rPr>
                <w:b/>
              </w:rPr>
            </w:pPr>
            <w:r>
              <w:rPr>
                <w:b/>
              </w:rPr>
              <w:t>Females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4FB" w:rsidRPr="002362C7" w:rsidRDefault="00C214FB" w:rsidP="00086217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4FB" w:rsidRPr="002362C7" w:rsidRDefault="00C214FB" w:rsidP="00086217">
            <w:pPr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4FB" w:rsidRPr="002362C7" w:rsidRDefault="00C214FB" w:rsidP="00086217">
            <w:pPr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4FB" w:rsidRDefault="00C214FB" w:rsidP="00086217">
            <w:pPr>
              <w:rPr>
                <w:b/>
              </w:rPr>
            </w:pPr>
            <w:r>
              <w:rPr>
                <w:b/>
              </w:rPr>
              <w:t>males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4FB" w:rsidRPr="002362C7" w:rsidRDefault="00C214FB" w:rsidP="00086217">
            <w:pPr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4FB" w:rsidRPr="002362C7" w:rsidRDefault="00C214FB" w:rsidP="00086217">
            <w:pPr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4FB" w:rsidRPr="002362C7" w:rsidRDefault="00C214FB" w:rsidP="00086217">
            <w:pPr>
              <w:rPr>
                <w:b/>
              </w:rPr>
            </w:pPr>
          </w:p>
        </w:tc>
      </w:tr>
      <w:tr w:rsidR="00576C7B" w:rsidRPr="002E6A93" w:rsidTr="00C214FB"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C7B" w:rsidRPr="002E6A93" w:rsidRDefault="00576C7B" w:rsidP="00C214FB">
            <w:pPr>
              <w:jc w:val="right"/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C7B" w:rsidRPr="002362C7" w:rsidRDefault="00086217" w:rsidP="00C214FB">
            <w:pPr>
              <w:jc w:val="right"/>
              <w:rPr>
                <w:b/>
              </w:rPr>
            </w:pPr>
            <w:r>
              <w:rPr>
                <w:b/>
              </w:rPr>
              <w:t>R</w:t>
            </w:r>
            <w:r w:rsidR="00576C7B" w:rsidRPr="002362C7">
              <w:rPr>
                <w:b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C7B" w:rsidRPr="002362C7" w:rsidRDefault="00576C7B" w:rsidP="00C214FB">
            <w:pPr>
              <w:jc w:val="right"/>
              <w:rPr>
                <w:b/>
              </w:rPr>
            </w:pPr>
            <w:r w:rsidRPr="002362C7">
              <w:rPr>
                <w:b/>
              </w:rPr>
              <w:t>slope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C7B" w:rsidRPr="002362C7" w:rsidRDefault="00576C7B" w:rsidP="00C214FB">
            <w:pPr>
              <w:jc w:val="right"/>
              <w:rPr>
                <w:b/>
              </w:rPr>
            </w:pPr>
            <w:r w:rsidRPr="002362C7">
              <w:rPr>
                <w:b/>
              </w:rPr>
              <w:t>P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C7B" w:rsidRPr="002362C7" w:rsidRDefault="00576C7B" w:rsidP="00C214FB">
            <w:pPr>
              <w:jc w:val="right"/>
              <w:rPr>
                <w:b/>
              </w:rPr>
            </w:pPr>
            <w:r w:rsidRPr="002362C7">
              <w:rPr>
                <w:b/>
              </w:rPr>
              <w:t>AIC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C7B" w:rsidRPr="002362C7" w:rsidRDefault="00086217" w:rsidP="00C214FB">
            <w:pPr>
              <w:jc w:val="right"/>
              <w:rPr>
                <w:b/>
              </w:rPr>
            </w:pPr>
            <w:r>
              <w:rPr>
                <w:b/>
              </w:rPr>
              <w:t>R</w:t>
            </w:r>
            <w:r w:rsidR="00576C7B" w:rsidRPr="002362C7">
              <w:rPr>
                <w:b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C7B" w:rsidRPr="002362C7" w:rsidRDefault="00576C7B" w:rsidP="00C214FB">
            <w:pPr>
              <w:jc w:val="right"/>
              <w:rPr>
                <w:b/>
              </w:rPr>
            </w:pPr>
            <w:r w:rsidRPr="002362C7">
              <w:rPr>
                <w:b/>
              </w:rPr>
              <w:t>slope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C7B" w:rsidRPr="002362C7" w:rsidRDefault="00576C7B" w:rsidP="00C214FB">
            <w:pPr>
              <w:jc w:val="right"/>
              <w:rPr>
                <w:b/>
              </w:rPr>
            </w:pPr>
            <w:r w:rsidRPr="002362C7">
              <w:rPr>
                <w:b/>
              </w:rPr>
              <w:t>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C7B" w:rsidRPr="002362C7" w:rsidRDefault="00576C7B" w:rsidP="00C214FB">
            <w:pPr>
              <w:jc w:val="right"/>
              <w:rPr>
                <w:b/>
              </w:rPr>
            </w:pPr>
            <w:r w:rsidRPr="002362C7">
              <w:rPr>
                <w:b/>
              </w:rPr>
              <w:t>AIC</w:t>
            </w:r>
          </w:p>
        </w:tc>
      </w:tr>
      <w:tr w:rsidR="00576C7B" w:rsidRPr="002E6A93" w:rsidTr="00C214FB"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C7B" w:rsidRPr="008C2506" w:rsidRDefault="00576C7B" w:rsidP="008C2506">
            <w:pPr>
              <w:rPr>
                <w:b/>
              </w:rPr>
            </w:pPr>
            <w:r w:rsidRPr="00EC3C9E">
              <w:rPr>
                <w:b/>
              </w:rPr>
              <w:t>Starvation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C7B" w:rsidRPr="002E6A93" w:rsidRDefault="00576C7B" w:rsidP="00086217"/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C7B" w:rsidRPr="002E6A93" w:rsidRDefault="00576C7B" w:rsidP="00086217"/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C7B" w:rsidRPr="002E6A93" w:rsidRDefault="00576C7B" w:rsidP="00086217"/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C7B" w:rsidRPr="002E6A93" w:rsidRDefault="00576C7B" w:rsidP="00086217"/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C7B" w:rsidRPr="002E6A93" w:rsidRDefault="00576C7B" w:rsidP="00086217"/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C7B" w:rsidRPr="002E6A93" w:rsidRDefault="00576C7B" w:rsidP="00086217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C7B" w:rsidRDefault="00576C7B" w:rsidP="00086217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C7B" w:rsidRPr="002E6A93" w:rsidRDefault="00576C7B" w:rsidP="00086217"/>
        </w:tc>
      </w:tr>
      <w:tr w:rsidR="008C2506" w:rsidRPr="002E6A93" w:rsidTr="00C214FB">
        <w:trPr>
          <w:trHeight w:val="295"/>
        </w:trPr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06" w:rsidRPr="00EC3C9E" w:rsidRDefault="008C2506" w:rsidP="00086217">
            <w:pPr>
              <w:rPr>
                <w:b/>
              </w:rPr>
            </w:pPr>
            <w:r w:rsidRPr="002E6A93">
              <w:t>AMT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06" w:rsidRPr="008C2506" w:rsidRDefault="008C2506" w:rsidP="008C2506">
            <w:pPr>
              <w:jc w:val="right"/>
              <w:rPr>
                <w:b/>
              </w:rPr>
            </w:pPr>
            <w:r w:rsidRPr="008C2506">
              <w:rPr>
                <w:b/>
              </w:rPr>
              <w:t>0.24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06" w:rsidRPr="008C2506" w:rsidRDefault="008C2506" w:rsidP="008C2506">
            <w:pPr>
              <w:jc w:val="right"/>
              <w:rPr>
                <w:b/>
              </w:rPr>
            </w:pPr>
            <w:r w:rsidRPr="008C2506">
              <w:rPr>
                <w:b/>
              </w:rPr>
              <w:t>-8.54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06" w:rsidRPr="008C2506" w:rsidRDefault="008C2506" w:rsidP="008C2506">
            <w:pPr>
              <w:jc w:val="right"/>
              <w:rPr>
                <w:b/>
              </w:rPr>
            </w:pPr>
            <w:r w:rsidRPr="008C2506">
              <w:rPr>
                <w:b/>
              </w:rPr>
              <w:t>&lt;0.001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06" w:rsidRPr="008C2506" w:rsidRDefault="008C2506" w:rsidP="008C2506">
            <w:pPr>
              <w:jc w:val="right"/>
              <w:rPr>
                <w:b/>
              </w:rPr>
            </w:pPr>
            <w:r w:rsidRPr="008C2506">
              <w:rPr>
                <w:b/>
              </w:rPr>
              <w:t>804.47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-6.10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&lt;0.001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773.21</w:t>
            </w:r>
          </w:p>
        </w:tc>
      </w:tr>
      <w:tr w:rsidR="008C2506" w:rsidRPr="002E6A93" w:rsidTr="008C2506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EC3C9E" w:rsidRDefault="008C2506" w:rsidP="00086217">
            <w:pPr>
              <w:rPr>
                <w:b/>
              </w:rPr>
            </w:pPr>
            <w:r w:rsidRPr="002E6A93">
              <w:t>Lat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3.45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&lt;0.001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806.70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2.51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&lt;0.001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775.36</w:t>
            </w:r>
          </w:p>
        </w:tc>
      </w:tr>
      <w:tr w:rsidR="008C2506" w:rsidRPr="002E6A93" w:rsidTr="008C2506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EC3C9E" w:rsidRDefault="008C2506" w:rsidP="00086217">
            <w:pPr>
              <w:rPr>
                <w:b/>
              </w:rPr>
            </w:pPr>
            <w:proofErr w:type="spellStart"/>
            <w:r w:rsidRPr="002E6A93">
              <w:t>Tmax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-15.52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&lt;0.001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807.57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-10.68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&lt;0.001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777.57</w:t>
            </w:r>
          </w:p>
        </w:tc>
      </w:tr>
      <w:tr w:rsidR="008C2506" w:rsidRPr="002E6A93" w:rsidTr="008C2506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EC3C9E" w:rsidRDefault="008C2506" w:rsidP="00086217">
            <w:pPr>
              <w:rPr>
                <w:b/>
              </w:rPr>
            </w:pPr>
            <w:proofErr w:type="spellStart"/>
            <w:r w:rsidRPr="002E6A93">
              <w:t>Tsea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0.16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&lt;0.001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810.99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778.88</w:t>
            </w:r>
          </w:p>
        </w:tc>
      </w:tr>
      <w:tr w:rsidR="008C2506" w:rsidRPr="002E6A93" w:rsidTr="008C2506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EC3C9E" w:rsidRDefault="008C2506" w:rsidP="00086217">
            <w:pPr>
              <w:rPr>
                <w:b/>
              </w:rPr>
            </w:pPr>
            <w:proofErr w:type="spellStart"/>
            <w:r>
              <w:t>P</w:t>
            </w:r>
            <w:r w:rsidRPr="002E6A93">
              <w:t>ann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-275.27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&lt;0.001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809.04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8C2506" w:rsidRDefault="008C2506" w:rsidP="008C2506">
            <w:pPr>
              <w:jc w:val="right"/>
              <w:rPr>
                <w:b/>
              </w:rPr>
            </w:pPr>
            <w:r w:rsidRPr="008C2506">
              <w:rPr>
                <w:b/>
              </w:rPr>
              <w:t>0.23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8C2506" w:rsidRDefault="008C2506" w:rsidP="008C2506">
            <w:pPr>
              <w:jc w:val="right"/>
              <w:rPr>
                <w:b/>
              </w:rPr>
            </w:pPr>
            <w:r w:rsidRPr="008C2506">
              <w:rPr>
                <w:b/>
              </w:rPr>
              <w:t>-237.20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8C2506" w:rsidRDefault="008C2506" w:rsidP="008C2506">
            <w:pPr>
              <w:jc w:val="right"/>
              <w:rPr>
                <w:b/>
              </w:rPr>
            </w:pPr>
            <w:r w:rsidRPr="008C2506">
              <w:rPr>
                <w:b/>
              </w:rPr>
              <w:t>&lt;0.001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8C2506" w:rsidRDefault="008C2506" w:rsidP="008C2506">
            <w:pPr>
              <w:jc w:val="right"/>
              <w:rPr>
                <w:b/>
              </w:rPr>
            </w:pPr>
            <w:r w:rsidRPr="008C2506">
              <w:rPr>
                <w:b/>
              </w:rPr>
              <w:t>771.30</w:t>
            </w:r>
          </w:p>
        </w:tc>
      </w:tr>
      <w:tr w:rsidR="008C2506" w:rsidRPr="002E6A93" w:rsidTr="008C2506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EC3C9E" w:rsidRDefault="008C2506" w:rsidP="00086217">
            <w:pPr>
              <w:rPr>
                <w:b/>
              </w:rPr>
            </w:pPr>
            <w:proofErr w:type="spellStart"/>
            <w:r w:rsidRPr="002E6A93">
              <w:t>Pdry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0.35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0.63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823.66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-0.04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789.96</w:t>
            </w:r>
          </w:p>
        </w:tc>
      </w:tr>
      <w:tr w:rsidR="008C2506" w:rsidRPr="002E6A93" w:rsidTr="008C2506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EC3C9E" w:rsidRDefault="008C2506" w:rsidP="00086217">
            <w:pPr>
              <w:rPr>
                <w:b/>
              </w:rPr>
            </w:pPr>
            <w:proofErr w:type="spellStart"/>
            <w:r w:rsidRPr="002E6A93">
              <w:t>Pwet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-0.42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&lt;0.001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808.83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-0.35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&lt;0.001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772.79</w:t>
            </w:r>
          </w:p>
        </w:tc>
      </w:tr>
      <w:tr w:rsidR="008C2506" w:rsidRPr="002E6A93" w:rsidTr="008C2506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EC3C9E" w:rsidRDefault="008C2506" w:rsidP="00086217">
            <w:pPr>
              <w:rPr>
                <w:b/>
              </w:rPr>
            </w:pPr>
            <w:proofErr w:type="spellStart"/>
            <w:r w:rsidRPr="002E6A93">
              <w:t>Psea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-1.77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814.45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-1.17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783.35</w:t>
            </w:r>
          </w:p>
        </w:tc>
      </w:tr>
      <w:tr w:rsidR="008C2506" w:rsidRPr="002E6A93" w:rsidTr="008C2506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2E6A93" w:rsidRDefault="008C2506" w:rsidP="00086217">
            <w:proofErr w:type="spellStart"/>
            <w:r>
              <w:t>dpa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&lt;0.01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0.73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0.38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823.12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2.46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787.33</w:t>
            </w:r>
          </w:p>
        </w:tc>
      </w:tr>
      <w:tr w:rsidR="008C2506" w:rsidRPr="002E6A93" w:rsidTr="008C2506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2E6A93" w:rsidRDefault="008C2506" w:rsidP="00086217">
            <w:r w:rsidRPr="002E6A93">
              <w:t>AMT + lat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&lt;0.001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806.41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</w:p>
        </w:tc>
      </w:tr>
      <w:tr w:rsidR="008C2506" w:rsidRPr="002E6A93" w:rsidTr="00C214FB"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06" w:rsidRPr="002E6A93" w:rsidRDefault="008C2506" w:rsidP="00086217">
            <w:proofErr w:type="spellStart"/>
            <w:r>
              <w:t>Pann</w:t>
            </w:r>
            <w:proofErr w:type="spellEnd"/>
            <w:r>
              <w:t xml:space="preserve">+ </w:t>
            </w:r>
            <w:proofErr w:type="spellStart"/>
            <w:r>
              <w:t>Pwet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06" w:rsidRDefault="008C2506" w:rsidP="008C2506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&lt;0.001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772.17</w:t>
            </w:r>
          </w:p>
        </w:tc>
      </w:tr>
      <w:tr w:rsidR="008C2506" w:rsidRPr="002E6A93" w:rsidTr="00C214FB"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506" w:rsidRPr="008C2506" w:rsidRDefault="008C2506" w:rsidP="00086217">
            <w:pPr>
              <w:rPr>
                <w:b/>
              </w:rPr>
            </w:pPr>
            <w:r w:rsidRPr="00EC3C9E">
              <w:rPr>
                <w:b/>
              </w:rPr>
              <w:t>Body size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506" w:rsidRPr="002E6A93" w:rsidRDefault="008C2506" w:rsidP="00086217"/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506" w:rsidRPr="002E6A93" w:rsidRDefault="008C2506" w:rsidP="00086217"/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506" w:rsidRPr="002E6A93" w:rsidRDefault="008C2506" w:rsidP="00086217"/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506" w:rsidRPr="002E6A93" w:rsidRDefault="008C2506" w:rsidP="00086217"/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506" w:rsidRPr="002E6A93" w:rsidRDefault="008C2506" w:rsidP="00086217"/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506" w:rsidRPr="002E6A93" w:rsidRDefault="008C2506" w:rsidP="00086217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506" w:rsidRPr="002E6A93" w:rsidRDefault="008C2506" w:rsidP="00086217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506" w:rsidRPr="002E6A93" w:rsidRDefault="008C2506" w:rsidP="00086217"/>
        </w:tc>
      </w:tr>
      <w:tr w:rsidR="008C2506" w:rsidRPr="002E6A93" w:rsidTr="00C214FB"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06" w:rsidRPr="00EC3C9E" w:rsidRDefault="008C2506" w:rsidP="006E30DB">
            <w:pPr>
              <w:rPr>
                <w:b/>
              </w:rPr>
            </w:pPr>
            <w:r w:rsidRPr="002E6A93">
              <w:t>AMT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06" w:rsidRPr="008C2506" w:rsidRDefault="008C2506" w:rsidP="008C2506">
            <w:pPr>
              <w:jc w:val="right"/>
              <w:rPr>
                <w:b/>
              </w:rPr>
            </w:pPr>
            <w:r w:rsidRPr="008C2506">
              <w:rPr>
                <w:b/>
              </w:rPr>
              <w:t>0.11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06" w:rsidRPr="008C2506" w:rsidRDefault="008C2506" w:rsidP="008C2506">
            <w:pPr>
              <w:jc w:val="right"/>
              <w:rPr>
                <w:b/>
              </w:rPr>
            </w:pPr>
            <w:r>
              <w:rPr>
                <w:b/>
              </w:rPr>
              <w:t>0.89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06" w:rsidRPr="008C2506" w:rsidRDefault="008C2506" w:rsidP="008C2506">
            <w:pPr>
              <w:jc w:val="right"/>
              <w:rPr>
                <w:b/>
              </w:rPr>
            </w:pPr>
            <w:r>
              <w:rPr>
                <w:b/>
              </w:rPr>
              <w:t>0.002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06" w:rsidRPr="008C2506" w:rsidRDefault="008C2506" w:rsidP="008C2506">
            <w:pPr>
              <w:jc w:val="right"/>
              <w:rPr>
                <w:b/>
              </w:rPr>
            </w:pPr>
            <w:r>
              <w:rPr>
                <w:b/>
              </w:rPr>
              <w:t>0.86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0.69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-13.87</w:t>
            </w:r>
          </w:p>
        </w:tc>
      </w:tr>
      <w:tr w:rsidR="008C2506" w:rsidRPr="002E6A93" w:rsidTr="00C214FB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EC3C9E" w:rsidRDefault="008C2506" w:rsidP="006E30DB">
            <w:pPr>
              <w:rPr>
                <w:b/>
              </w:rPr>
            </w:pPr>
            <w:r w:rsidRPr="002E6A93">
              <w:t>Lat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0.49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4.13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-11.35</w:t>
            </w:r>
          </w:p>
        </w:tc>
      </w:tr>
      <w:tr w:rsidR="008C2506" w:rsidRPr="002E6A93" w:rsidTr="00C214FB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EC3C9E" w:rsidRDefault="008C2506" w:rsidP="006E30DB">
            <w:pPr>
              <w:rPr>
                <w:b/>
              </w:rPr>
            </w:pPr>
            <w:proofErr w:type="spellStart"/>
            <w:r w:rsidRPr="002E6A93">
              <w:t>Tmax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1.27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5.11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1.03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-11.19</w:t>
            </w:r>
          </w:p>
        </w:tc>
      </w:tr>
      <w:tr w:rsidR="008C2506" w:rsidRPr="002E6A93" w:rsidTr="00C214FB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EC3C9E" w:rsidRDefault="008C2506" w:rsidP="006E30DB">
            <w:pPr>
              <w:rPr>
                <w:b/>
              </w:rPr>
            </w:pPr>
            <w:proofErr w:type="spellStart"/>
            <w:r w:rsidRPr="002E6A93">
              <w:t>Tsea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0.49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2.05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-12.44</w:t>
            </w:r>
          </w:p>
        </w:tc>
      </w:tr>
      <w:tr w:rsidR="008C2506" w:rsidRPr="002E6A93" w:rsidTr="00C214FB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EC3C9E" w:rsidRDefault="008C2506" w:rsidP="006E30DB">
            <w:pPr>
              <w:rPr>
                <w:b/>
              </w:rPr>
            </w:pPr>
            <w:proofErr w:type="spellStart"/>
            <w:r>
              <w:t>P</w:t>
            </w:r>
            <w:r w:rsidRPr="002E6A93">
              <w:t>ann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1.86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5.25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1.40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-9.90</w:t>
            </w:r>
          </w:p>
        </w:tc>
      </w:tr>
      <w:tr w:rsidR="008C2506" w:rsidRPr="002E6A93" w:rsidTr="00C214FB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EC3C9E" w:rsidRDefault="008C2506" w:rsidP="006E30DB">
            <w:pPr>
              <w:rPr>
                <w:b/>
              </w:rPr>
            </w:pPr>
            <w:proofErr w:type="spellStart"/>
            <w:r w:rsidRPr="002E6A93">
              <w:t>Pdry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0.59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10.64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-6.48</w:t>
            </w:r>
          </w:p>
        </w:tc>
      </w:tr>
      <w:tr w:rsidR="008C2506" w:rsidRPr="002E6A93" w:rsidTr="00C214FB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EC3C9E" w:rsidRDefault="008C2506" w:rsidP="006E30DB">
            <w:pPr>
              <w:rPr>
                <w:b/>
              </w:rPr>
            </w:pPr>
            <w:proofErr w:type="spellStart"/>
            <w:r w:rsidRPr="002E6A93">
              <w:t>Pwet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0.79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2.61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8C2506" w:rsidRDefault="008C2506" w:rsidP="008C2506">
            <w:pPr>
              <w:jc w:val="right"/>
              <w:rPr>
                <w:b/>
              </w:rPr>
            </w:pPr>
            <w:r>
              <w:rPr>
                <w:b/>
              </w:rPr>
              <w:t>0.08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8C2506" w:rsidRDefault="008C2506" w:rsidP="008C2506">
            <w:pPr>
              <w:jc w:val="right"/>
              <w:rPr>
                <w:b/>
              </w:rPr>
            </w:pPr>
            <w:r>
              <w:rPr>
                <w:b/>
              </w:rPr>
              <w:t>0.63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8C2506" w:rsidRDefault="008C2506" w:rsidP="008C2506">
            <w:pPr>
              <w:jc w:val="right"/>
              <w:rPr>
                <w:b/>
              </w:rPr>
            </w:pPr>
            <w:r>
              <w:rPr>
                <w:b/>
              </w:rPr>
              <w:t>0.006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8C2506" w:rsidRDefault="008C2506" w:rsidP="008C2506">
            <w:pPr>
              <w:jc w:val="right"/>
              <w:rPr>
                <w:b/>
              </w:rPr>
            </w:pPr>
            <w:r>
              <w:rPr>
                <w:b/>
              </w:rPr>
              <w:t>-13.94</w:t>
            </w:r>
          </w:p>
        </w:tc>
      </w:tr>
      <w:tr w:rsidR="008C2506" w:rsidRPr="002E6A93" w:rsidTr="00C214FB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EC3C9E" w:rsidRDefault="008C2506" w:rsidP="006E30DB">
            <w:pPr>
              <w:rPr>
                <w:b/>
              </w:rPr>
            </w:pPr>
            <w:proofErr w:type="spellStart"/>
            <w:r w:rsidRPr="002E6A93">
              <w:t>Psea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0.73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8.78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-8.69</w:t>
            </w:r>
          </w:p>
        </w:tc>
      </w:tr>
      <w:tr w:rsidR="008C2506" w:rsidRPr="002E6A93" w:rsidTr="00C214FB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2E6A93" w:rsidRDefault="008C2506" w:rsidP="006E30DB">
            <w:proofErr w:type="spellStart"/>
            <w:r>
              <w:t>dpa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0.50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9.04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&lt;0.01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-7.20</w:t>
            </w:r>
          </w:p>
        </w:tc>
      </w:tr>
      <w:tr w:rsidR="008C2506" w:rsidRPr="002E6A93" w:rsidTr="00C214FB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8C2506" w:rsidRPr="002E6A93" w:rsidRDefault="008C2506" w:rsidP="006E30DB">
            <w:r w:rsidRPr="002E6A93">
              <w:t>AMT + lat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2.77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</w:t>
            </w:r>
          </w:p>
        </w:tc>
      </w:tr>
      <w:tr w:rsidR="008C2506" w:rsidRPr="002E6A93" w:rsidTr="00C214FB"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06" w:rsidRPr="002E6A93" w:rsidRDefault="008C2506" w:rsidP="006E30DB">
            <w:proofErr w:type="spellStart"/>
            <w:r>
              <w:t>Pann</w:t>
            </w:r>
            <w:proofErr w:type="spellEnd"/>
            <w:r>
              <w:t xml:space="preserve">+ </w:t>
            </w:r>
            <w:proofErr w:type="spellStart"/>
            <w:r>
              <w:t>Pwet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0.09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506" w:rsidRDefault="008C2506" w:rsidP="008C2506">
            <w:pPr>
              <w:jc w:val="right"/>
            </w:pPr>
            <w:r>
              <w:t>-13.51</w:t>
            </w:r>
          </w:p>
        </w:tc>
      </w:tr>
    </w:tbl>
    <w:p w:rsidR="002F3631" w:rsidRDefault="002F3631"/>
    <w:sectPr w:rsidR="002F3631" w:rsidSect="00ED3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F08"/>
    <w:rsid w:val="00086217"/>
    <w:rsid w:val="000D6E09"/>
    <w:rsid w:val="00107885"/>
    <w:rsid w:val="0015147F"/>
    <w:rsid w:val="00206107"/>
    <w:rsid w:val="002362C7"/>
    <w:rsid w:val="00261C55"/>
    <w:rsid w:val="002E6A93"/>
    <w:rsid w:val="002F3631"/>
    <w:rsid w:val="00316E4B"/>
    <w:rsid w:val="00347606"/>
    <w:rsid w:val="00357209"/>
    <w:rsid w:val="003F644F"/>
    <w:rsid w:val="00431800"/>
    <w:rsid w:val="004864DA"/>
    <w:rsid w:val="004F6056"/>
    <w:rsid w:val="00517113"/>
    <w:rsid w:val="00551831"/>
    <w:rsid w:val="00576C7B"/>
    <w:rsid w:val="005D753A"/>
    <w:rsid w:val="006067BB"/>
    <w:rsid w:val="00630F08"/>
    <w:rsid w:val="00673D07"/>
    <w:rsid w:val="00674E71"/>
    <w:rsid w:val="006A5001"/>
    <w:rsid w:val="007E34B0"/>
    <w:rsid w:val="008C2506"/>
    <w:rsid w:val="0099499C"/>
    <w:rsid w:val="00A12E03"/>
    <w:rsid w:val="00A45498"/>
    <w:rsid w:val="00AA385A"/>
    <w:rsid w:val="00B56F68"/>
    <w:rsid w:val="00C214FB"/>
    <w:rsid w:val="00CE3743"/>
    <w:rsid w:val="00CF44CA"/>
    <w:rsid w:val="00CF5403"/>
    <w:rsid w:val="00D0478F"/>
    <w:rsid w:val="00D852F8"/>
    <w:rsid w:val="00DB1374"/>
    <w:rsid w:val="00DD42AC"/>
    <w:rsid w:val="00E55296"/>
    <w:rsid w:val="00E85F40"/>
    <w:rsid w:val="00EA706F"/>
    <w:rsid w:val="00EC3C9E"/>
    <w:rsid w:val="00ED36F0"/>
    <w:rsid w:val="00EF2638"/>
    <w:rsid w:val="00F308CB"/>
    <w:rsid w:val="00F9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F08"/>
    <w:pPr>
      <w:ind w:left="720"/>
      <w:contextualSpacing/>
    </w:pPr>
  </w:style>
  <w:style w:type="character" w:customStyle="1" w:styleId="st">
    <w:name w:val="st"/>
    <w:basedOn w:val="DefaultParagraphFont"/>
    <w:rsid w:val="00630F08"/>
  </w:style>
  <w:style w:type="character" w:styleId="Emphasis">
    <w:name w:val="Emphasis"/>
    <w:basedOn w:val="DefaultParagraphFont"/>
    <w:uiPriority w:val="20"/>
    <w:qFormat/>
    <w:rsid w:val="00630F0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5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C7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F08"/>
    <w:pPr>
      <w:ind w:left="720"/>
      <w:contextualSpacing/>
    </w:pPr>
  </w:style>
  <w:style w:type="character" w:customStyle="1" w:styleId="st">
    <w:name w:val="st"/>
    <w:basedOn w:val="DefaultParagraphFont"/>
    <w:rsid w:val="00630F08"/>
  </w:style>
  <w:style w:type="character" w:styleId="Emphasis">
    <w:name w:val="Emphasis"/>
    <w:basedOn w:val="DefaultParagraphFont"/>
    <w:uiPriority w:val="20"/>
    <w:qFormat/>
    <w:rsid w:val="00630F0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5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C7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Emily Thomson</cp:lastModifiedBy>
  <cp:revision>3</cp:revision>
  <dcterms:created xsi:type="dcterms:W3CDTF">2013-07-19T01:32:00Z</dcterms:created>
  <dcterms:modified xsi:type="dcterms:W3CDTF">2013-07-19T02:01:00Z</dcterms:modified>
</cp:coreProperties>
</file>