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5" w:rsidRDefault="00CE2DC5" w:rsidP="00CE2DC5">
      <w:pPr>
        <w:pStyle w:val="Heading2"/>
      </w:pPr>
      <w:r>
        <w:t>Methods S3. Solution to 1-D PDE for diffusion away from a source region</w:t>
      </w:r>
    </w:p>
    <w:p w:rsidR="00CE2DC5" w:rsidRDefault="00CE2DC5" w:rsidP="00CE2DC5">
      <w:pPr>
        <w:pStyle w:val="ListParagraph"/>
        <w:ind w:left="0" w:firstLine="720"/>
      </w:pPr>
      <w:r>
        <w:t>Consider an ordinary differential equation for a nutrient with exogenous gains G and first order losses determined by the rate constant K:</w:t>
      </w:r>
    </w:p>
    <w:p w:rsidR="00CE2DC5" w:rsidRDefault="00CE2DC5" w:rsidP="00CE2DC5">
      <w:pPr>
        <w:pStyle w:val="ListParagraph"/>
        <w:tabs>
          <w:tab w:val="left" w:pos="7200"/>
        </w:tabs>
        <w:ind w:left="0" w:firstLine="720"/>
      </w:pPr>
      <w:r>
        <w:rPr>
          <w:noProof/>
          <w:position w:val="-20"/>
        </w:rPr>
        <w:drawing>
          <wp:inline distT="0" distB="0" distL="0" distR="0">
            <wp:extent cx="923290" cy="354965"/>
            <wp:effectExtent l="0" t="0" r="0" b="0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2329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[S17]</w:t>
      </w:r>
    </w:p>
    <w:p w:rsidR="00CE2DC5" w:rsidRDefault="00CE2DC5" w:rsidP="00CE2DC5">
      <w:pPr>
        <w:pStyle w:val="ListParagraph"/>
        <w:ind w:left="0"/>
      </w:pPr>
      <w:r>
        <w:t>where G (kg P k</w:t>
      </w:r>
      <w:r w:rsidRPr="00230E9F">
        <w:t>m</w:t>
      </w:r>
      <w:r>
        <w:rPr>
          <w:vertAlign w:val="superscript"/>
        </w:rPr>
        <w:t>-</w:t>
      </w:r>
      <w:r w:rsidRPr="00230E9F">
        <w:rPr>
          <w:vertAlign w:val="superscript"/>
        </w:rPr>
        <w:t>2</w:t>
      </w:r>
      <w:r>
        <w:t xml:space="preserve"> day</w:t>
      </w:r>
      <w:r>
        <w:rPr>
          <w:vertAlign w:val="superscript"/>
        </w:rPr>
        <w:t>-1</w:t>
      </w:r>
      <w:r>
        <w:t xml:space="preserve">) </w:t>
      </w:r>
      <w:r w:rsidRPr="00230E9F">
        <w:t>encompasses</w:t>
      </w:r>
      <w:r>
        <w:t xml:space="preserve"> inputs such as dry or wet deposition and K (day</w:t>
      </w:r>
      <w:r>
        <w:rPr>
          <w:vertAlign w:val="superscript"/>
        </w:rPr>
        <w:t>-1</w:t>
      </w:r>
      <w:r>
        <w:t xml:space="preserve">) characterizes loss rates from leaching, runoff, erosion or volatilization.  Note that for congruency with Equations 14-16, G includes only the fraction of nutrient influx that is taken up into edible biomass, and that K is likewise losses of nutrients that are potentially incorporated into edible biomass.  If we are concerned with the pool immediately available for plant uptake, then these fractions are simply </w:t>
      </w:r>
      <w:r>
        <w:sym w:font="Symbol" w:char="F061"/>
      </w:r>
      <w:r>
        <w:t xml:space="preserve">.  The steady state </w:t>
      </w:r>
      <w:r w:rsidRPr="00384FF9">
        <w:t>P</w:t>
      </w:r>
      <w:r w:rsidRPr="00384FF9">
        <w:rPr>
          <w:vertAlign w:val="subscript"/>
        </w:rPr>
        <w:t>ss</w:t>
      </w:r>
      <w:r>
        <w:t xml:space="preserve"> </w:t>
      </w:r>
      <w:r w:rsidRPr="00384FF9">
        <w:t>of</w:t>
      </w:r>
      <w:r>
        <w:t xml:space="preserve"> this system is G/K.  The addition of the diffusion term </w:t>
      </w:r>
      <w:r>
        <w:sym w:font="Symbol" w:char="F046"/>
      </w:r>
      <w:r>
        <w:t xml:space="preserve"> adds the potential for lateral fluxes emerging from horizontal gradients in P:</w:t>
      </w:r>
    </w:p>
    <w:p w:rsidR="00CE2DC5" w:rsidRDefault="00CE2DC5" w:rsidP="00CE2DC5">
      <w:pPr>
        <w:pStyle w:val="ListParagraph"/>
        <w:tabs>
          <w:tab w:val="left" w:pos="7200"/>
        </w:tabs>
        <w:ind w:left="0"/>
      </w:pPr>
      <w:r>
        <w:rPr>
          <w:noProof/>
          <w:position w:val="-20"/>
        </w:rPr>
        <w:drawing>
          <wp:inline distT="0" distB="0" distL="0" distR="0">
            <wp:extent cx="1376045" cy="381635"/>
            <wp:effectExtent l="25400" t="0" r="0" b="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60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[S18]</w:t>
      </w:r>
    </w:p>
    <w:p w:rsidR="00CE2DC5" w:rsidRDefault="00CE2DC5" w:rsidP="00CE2DC5">
      <w:pPr>
        <w:pStyle w:val="ListParagraph"/>
        <w:ind w:left="0"/>
      </w:pPr>
      <w:r>
        <w:t>Two successive substititions, ie u = KP – G and v = ue</w:t>
      </w:r>
      <w:r>
        <w:rPr>
          <w:vertAlign w:val="superscript"/>
        </w:rPr>
        <w:t>kt</w:t>
      </w:r>
      <w:r>
        <w:t>, yield the homogeneous equation</w:t>
      </w:r>
    </w:p>
    <w:p w:rsidR="00CE2DC5" w:rsidRPr="00384FF9" w:rsidRDefault="00CE2DC5" w:rsidP="00CE2DC5">
      <w:pPr>
        <w:pStyle w:val="ListParagraph"/>
        <w:tabs>
          <w:tab w:val="left" w:pos="7200"/>
        </w:tabs>
        <w:ind w:left="0"/>
      </w:pPr>
      <w:r>
        <w:rPr>
          <w:noProof/>
          <w:position w:val="-20"/>
        </w:rPr>
        <w:drawing>
          <wp:inline distT="0" distB="0" distL="0" distR="0">
            <wp:extent cx="727710" cy="381635"/>
            <wp:effectExtent l="2540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2771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[S19]</w:t>
      </w:r>
    </w:p>
    <w:p w:rsidR="00CE2DC5" w:rsidRDefault="00CE2DC5" w:rsidP="00CE2DC5">
      <w:pPr>
        <w:pStyle w:val="ListParagraph"/>
        <w:spacing w:line="360" w:lineRule="auto"/>
        <w:ind w:left="0"/>
      </w:pPr>
      <w:r>
        <w:t xml:space="preserve">which is analogous to Equation 6, and has many possible solutions depending on the boundary and initial conditions.  Consider the boundary condition where one edge (x=0) has a fixed concentration of the nutrient that is continuously replenished, such as a flood zone supplied by a river that overtops its banks or an eroding landscape with actively weathering substrate.  Crank </w:t>
      </w:r>
      <w:r w:rsidR="00913B3C">
        <w:fldChar w:fldCharType="begin"/>
      </w:r>
      <w:r>
        <w:instrText xml:space="preserve"> ADDIN EN.CITE &lt;EndNote&gt;&lt;Cite ExcludeAuth="1"&gt;&lt;Author&gt;Crank&lt;/Author&gt;&lt;Year&gt;1975&lt;/Year&gt;&lt;RecNum&gt;1033&lt;/RecNum&gt;&lt;record&gt;&lt;rec-number&gt;1033&lt;/rec-number&gt;&lt;foreign-keys&gt;&lt;key app="EN" db-id="22eatdeprxfdw4e2e9qpdz5f05st2zeap5pa"&gt;1033&lt;/key&gt;&lt;/foreign-keys&gt;&lt;ref-type name="Book"&gt;6&lt;/ref-type&gt;&lt;contributors&gt;&lt;authors&gt;&lt;author&gt;Crank, John&lt;/author&gt;&lt;/authors&gt;&lt;/contributors&gt;&lt;titles&gt;&lt;title&gt;The mathematics of diffusion&lt;/title&gt;&lt;/titles&gt;&lt;pages&gt;viii, 414 p.&lt;/pages&gt;&lt;edition&gt;2d&lt;/edition&gt;&lt;keywords&gt;&lt;keyword&gt;Diffusion.&lt;/keyword&gt;&lt;/keywords&gt;&lt;dates&gt;&lt;year&gt;1975&lt;/year&gt;&lt;/dates&gt;&lt;pub-location&gt;Oxford, Eng&lt;/pub-location&gt;&lt;publisher&gt;Clarendon Press&lt;/publisher&gt;&lt;isbn&gt;0198533446&lt;/isbn&gt;&lt;accession-num&gt;2221199&lt;/accession-num&gt;&lt;call-num&gt;Jefferson or Adams Building Reading Rooms QD543; .C77 1975&lt;/call-num&gt;&lt;urls&gt;&lt;/urls&gt;&lt;/record&gt;&lt;/Cite&gt;&lt;/EndNote&gt;</w:instrText>
      </w:r>
      <w:r w:rsidR="00913B3C">
        <w:fldChar w:fldCharType="separate"/>
      </w:r>
      <w:r>
        <w:rPr>
          <w:noProof/>
        </w:rPr>
        <w:t>(1975)</w:t>
      </w:r>
      <w:r w:rsidR="00913B3C">
        <w:fldChar w:fldCharType="end"/>
      </w:r>
      <w:r>
        <w:t xml:space="preserve"> presented the following solution.  Let a line source of material have concentration vo within a domain of width d</w:t>
      </w:r>
      <w:r>
        <w:sym w:font="Symbol" w:char="F078"/>
      </w:r>
      <w:r>
        <w:t>, such that its initial mass is v</w:t>
      </w:r>
      <w:r w:rsidRPr="00C37C92">
        <w:rPr>
          <w:vertAlign w:val="subscript"/>
        </w:rPr>
        <w:t>o</w:t>
      </w:r>
      <w:r>
        <w:t>d</w:t>
      </w:r>
      <w:r>
        <w:sym w:font="Symbol" w:char="F078"/>
      </w:r>
      <w:r>
        <w:t xml:space="preserve">.  The general solution for this line source, if diffusion is only in the +x direction, is </w:t>
      </w:r>
    </w:p>
    <w:p w:rsidR="00CE2DC5" w:rsidRDefault="00CE2DC5" w:rsidP="00CE2DC5">
      <w:pPr>
        <w:pStyle w:val="ListParagraph"/>
        <w:tabs>
          <w:tab w:val="left" w:pos="7200"/>
        </w:tabs>
        <w:ind w:left="0"/>
      </w:pPr>
      <w:r>
        <w:t xml:space="preserve"> </w:t>
      </w:r>
      <w:r w:rsidRPr="00F00A18">
        <w:rPr>
          <w:position w:val="-24"/>
        </w:rPr>
        <w:object w:dxaOrig="240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1pt;height:32.6pt" o:ole="">
            <v:imagedata r:id="rId7" r:pict="rId11" o:title=""/>
          </v:shape>
          <o:OLEObject Type="Embed" ProgID="Equation.DSMT4" ShapeID="_x0000_i1025" DrawAspect="Content" ObjectID="_1309509820" r:id="rId12"/>
        </w:object>
      </w:r>
      <w:r>
        <w:tab/>
        <w:t>[S20]</w:t>
      </w:r>
    </w:p>
    <w:p w:rsidR="00CE2DC5" w:rsidRDefault="00CE2DC5" w:rsidP="00CE2DC5">
      <w:pPr>
        <w:pStyle w:val="ListParagraph"/>
        <w:ind w:left="0"/>
      </w:pPr>
      <w:r>
        <w:t>Integrating this expression over d</w:t>
      </w:r>
      <w:r>
        <w:sym w:font="Symbol" w:char="F078"/>
      </w:r>
      <w:r>
        <w:t xml:space="preserve"> yields:</w:t>
      </w:r>
    </w:p>
    <w:p w:rsidR="00CE2DC5" w:rsidRDefault="00CE2DC5" w:rsidP="00CE2DC5">
      <w:pPr>
        <w:pStyle w:val="ListParagraph"/>
        <w:tabs>
          <w:tab w:val="left" w:pos="7200"/>
        </w:tabs>
        <w:ind w:left="0"/>
      </w:pPr>
      <w:r w:rsidRPr="00F00A18">
        <w:rPr>
          <w:position w:val="-24"/>
        </w:rPr>
        <w:object w:dxaOrig="5620" w:dyaOrig="640">
          <v:shape id="_x0000_i1026" type="#_x0000_t75" style="width:291.9pt;height:32.6pt" o:ole="">
            <v:imagedata r:id="rId13" r:pict="rId14" o:title=""/>
          </v:shape>
          <o:OLEObject Type="Embed" ProgID="Equation.DSMT4" ShapeID="_x0000_i1026" DrawAspect="Content" ObjectID="_1309509821" r:id="rId15"/>
        </w:object>
      </w:r>
      <w:r>
        <w:t xml:space="preserve"> </w:t>
      </w:r>
      <w:r>
        <w:tab/>
        <w:t>[S21]</w:t>
      </w:r>
    </w:p>
    <w:p w:rsidR="00CE2DC5" w:rsidRDefault="00CE2DC5" w:rsidP="00CE2DC5">
      <w:r>
        <w:t xml:space="preserve">where </w:t>
      </w:r>
      <w:r>
        <w:sym w:font="Symbol" w:char="F068"/>
      </w:r>
      <w:r>
        <w:t>=</w:t>
      </w:r>
      <w:r>
        <w:sym w:font="Symbol" w:char="F078"/>
      </w:r>
      <w:r>
        <w:t>/</w:t>
      </w:r>
      <w:r>
        <w:sym w:font="Symbol" w:char="F0D6"/>
      </w:r>
      <w:r>
        <w:t>4</w:t>
      </w:r>
      <w:r>
        <w:sym w:font="Symbol" w:char="F046"/>
      </w:r>
      <w:r>
        <w:t>t.  In evaluating the integral, consider the error function</w:t>
      </w:r>
    </w:p>
    <w:p w:rsidR="00CE2DC5" w:rsidRDefault="00CE2DC5" w:rsidP="00CE2DC5">
      <w:pPr>
        <w:tabs>
          <w:tab w:val="left" w:pos="7200"/>
        </w:tabs>
      </w:pPr>
      <w:r>
        <w:rPr>
          <w:noProof/>
          <w:position w:val="-24"/>
        </w:rPr>
        <w:drawing>
          <wp:inline distT="0" distB="0" distL="0" distR="0">
            <wp:extent cx="1686560" cy="381635"/>
            <wp:effectExtent l="25400" t="0" r="0" b="0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6865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[S22]</w:t>
      </w:r>
    </w:p>
    <w:p w:rsidR="00CE2DC5" w:rsidRDefault="00CE2DC5" w:rsidP="00CE2DC5">
      <w:r>
        <w:t>where erf(</w:t>
      </w:r>
      <w:r>
        <w:sym w:font="Symbol" w:char="F0A5"/>
      </w:r>
      <w:r>
        <w:t>) = 1 and erf(0) = 0, and the error function complement erfc(z) = 1-erf(z). The integral then equals</w:t>
      </w:r>
    </w:p>
    <w:p w:rsidR="00CE2DC5" w:rsidRDefault="00CE2DC5" w:rsidP="00CE2DC5">
      <w:pPr>
        <w:tabs>
          <w:tab w:val="left" w:pos="7200"/>
        </w:tabs>
      </w:pPr>
      <w:r>
        <w:rPr>
          <w:noProof/>
          <w:position w:val="-24"/>
        </w:rPr>
        <w:drawing>
          <wp:inline distT="0" distB="0" distL="0" distR="0">
            <wp:extent cx="4305935" cy="381635"/>
            <wp:effectExtent l="0" t="0" r="0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59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[S23]</w:t>
      </w:r>
    </w:p>
    <w:p w:rsidR="00CE2DC5" w:rsidRDefault="00CE2DC5" w:rsidP="00CE2DC5">
      <w:pPr>
        <w:tabs>
          <w:tab w:val="left" w:pos="7200"/>
        </w:tabs>
      </w:pPr>
      <w:r>
        <w:t>yielding the solution</w:t>
      </w:r>
    </w:p>
    <w:p w:rsidR="00CE2DC5" w:rsidRDefault="00CE2DC5" w:rsidP="00CE2DC5">
      <w:pPr>
        <w:tabs>
          <w:tab w:val="left" w:pos="7200"/>
        </w:tabs>
      </w:pPr>
      <w:r w:rsidRPr="00167323">
        <w:rPr>
          <w:position w:val="-24"/>
        </w:rPr>
        <w:object w:dxaOrig="2220" w:dyaOrig="600">
          <v:shape id="_x0000_i1027" type="#_x0000_t75" style="width:108.5pt;height:28.7pt" o:ole="">
            <v:imagedata r:id="rId20" r:pict="rId21" o:title=""/>
          </v:shape>
          <o:OLEObject Type="Embed" ProgID="Equation.DSMT4" ShapeID="_x0000_i1027" DrawAspect="Content" ObjectID="_1309509822" r:id="rId22"/>
        </w:object>
      </w:r>
      <w:r>
        <w:tab/>
        <w:t>[S24]</w:t>
      </w:r>
    </w:p>
    <w:p w:rsidR="00CE2DC5" w:rsidRDefault="00CE2DC5" w:rsidP="00CE2DC5">
      <w:pPr>
        <w:tabs>
          <w:tab w:val="left" w:pos="7200"/>
        </w:tabs>
      </w:pPr>
      <w:r>
        <w:t>By the previous substitutions, v</w:t>
      </w:r>
      <w:r>
        <w:rPr>
          <w:vertAlign w:val="subscript"/>
        </w:rPr>
        <w:t>o</w:t>
      </w:r>
      <w:r>
        <w:rPr>
          <w:vertAlign w:val="subscript"/>
        </w:rPr>
        <w:softHyphen/>
      </w:r>
      <w:r>
        <w:t xml:space="preserve"> = e</w:t>
      </w:r>
      <w:r>
        <w:rPr>
          <w:vertAlign w:val="superscript"/>
        </w:rPr>
        <w:t>kt</w:t>
      </w:r>
      <w:r>
        <w:t>(KP</w:t>
      </w:r>
      <w:r>
        <w:rPr>
          <w:vertAlign w:val="subscript"/>
        </w:rPr>
        <w:t>o</w:t>
      </w:r>
      <w:r>
        <w:t xml:space="preserve"> - G), where P</w:t>
      </w:r>
      <w:r>
        <w:rPr>
          <w:vertAlign w:val="subscript"/>
        </w:rPr>
        <w:t>o</w:t>
      </w:r>
      <w:r>
        <w:t xml:space="preserve"> is the nutrient concentration at the x=0 boundary.  Backsubstituting P(x,t) = (v(x,t)e</w:t>
      </w:r>
      <w:r>
        <w:rPr>
          <w:vertAlign w:val="superscript"/>
        </w:rPr>
        <w:t>-kt</w:t>
      </w:r>
      <w:r>
        <w:t>+G)/K, the solution in conventional units is:</w:t>
      </w:r>
    </w:p>
    <w:p w:rsidR="00CE2DC5" w:rsidRDefault="00CE2DC5" w:rsidP="00CE2DC5">
      <w:pPr>
        <w:tabs>
          <w:tab w:val="left" w:pos="7200"/>
        </w:tabs>
      </w:pPr>
      <w:r w:rsidRPr="003E5E0E">
        <w:rPr>
          <w:position w:val="-26"/>
        </w:rPr>
        <w:object w:dxaOrig="3500" w:dyaOrig="660">
          <v:shape id="_x0000_i1028" type="#_x0000_t75" style="width:175.15pt;height:32.6pt" o:ole="">
            <v:imagedata r:id="rId23" r:pict="rId24" o:title=""/>
          </v:shape>
          <o:OLEObject Type="Embed" ProgID="Equation.DSMT4" ShapeID="_x0000_i1028" DrawAspect="Content" ObjectID="_1309509823" r:id="rId25"/>
        </w:object>
      </w:r>
      <w:r>
        <w:tab/>
        <w:t>[S25]</w:t>
      </w:r>
    </w:p>
    <w:p w:rsidR="00CE2DC5" w:rsidRDefault="00CE2DC5" w:rsidP="00CE2DC5">
      <w:pPr>
        <w:tabs>
          <w:tab w:val="left" w:pos="7200"/>
        </w:tabs>
      </w:pPr>
      <w:r>
        <w:t>As t goes to infinity, P approaches the boundary condition P</w:t>
      </w:r>
      <w:r>
        <w:rPr>
          <w:vertAlign w:val="subscript"/>
        </w:rPr>
        <w:t>o</w:t>
      </w:r>
      <w:r>
        <w:t xml:space="preserve">.   </w:t>
      </w:r>
    </w:p>
    <w:p w:rsidR="00CE2DC5" w:rsidRDefault="00CE2DC5" w:rsidP="00CE2DC5">
      <w:r>
        <w:tab/>
        <w:t>The rate of propagation of P as constant values P* can be determined by rearranging the equation:</w:t>
      </w:r>
    </w:p>
    <w:p w:rsidR="00CE2DC5" w:rsidRDefault="00CE2DC5" w:rsidP="00CE2DC5">
      <w:r w:rsidRPr="009C06D7">
        <w:rPr>
          <w:position w:val="-26"/>
        </w:rPr>
        <w:object w:dxaOrig="2660" w:dyaOrig="660">
          <v:shape id="_x0000_i1029" type="#_x0000_t75" style="width:133.3pt;height:32.6pt" o:ole="">
            <v:imagedata r:id="rId26" r:pict="rId27" o:title=""/>
          </v:shape>
          <o:OLEObject Type="Embed" ProgID="Equation.DSMT4" ShapeID="_x0000_i1029" DrawAspect="Content" ObjectID="_1309509824" r:id="rId28"/>
        </w:object>
      </w:r>
      <w:r>
        <w:tab/>
        <w:t>[S26]</w:t>
      </w:r>
    </w:p>
    <w:p w:rsidR="00CE2DC5" w:rsidRDefault="00CE2DC5" w:rsidP="00CE2DC5">
      <w:r>
        <w:t>The inverse error function is given by the infinite series:</w:t>
      </w:r>
    </w:p>
    <w:p w:rsidR="00CE2DC5" w:rsidRDefault="00CE2DC5" w:rsidP="00CE2DC5">
      <w:r w:rsidRPr="009C06D7">
        <w:rPr>
          <w:position w:val="-24"/>
        </w:rPr>
        <w:object w:dxaOrig="2920" w:dyaOrig="620">
          <v:shape id="_x0000_i1030" type="#_x0000_t75" style="width:146.45pt;height:31.15pt" o:ole="">
            <v:imagedata r:id="rId29" r:pict="rId30" o:title=""/>
          </v:shape>
          <o:OLEObject Type="Embed" ProgID="Equation.DSMT4" ShapeID="_x0000_i1030" DrawAspect="Content" ObjectID="_1309509825" r:id="rId31"/>
        </w:object>
      </w:r>
      <w:r>
        <w:tab/>
        <w:t>[S27]</w:t>
      </w:r>
    </w:p>
    <w:p w:rsidR="00CE2DC5" w:rsidRDefault="00CE2DC5" w:rsidP="00CE2DC5">
      <w:r>
        <w:t>which yields the approximate relation</w:t>
      </w:r>
    </w:p>
    <w:p w:rsidR="00CE2DC5" w:rsidRDefault="00CE2DC5" w:rsidP="00CE2DC5">
      <w:r w:rsidRPr="009C06D7">
        <w:rPr>
          <w:position w:val="-28"/>
        </w:rPr>
        <w:object w:dxaOrig="2460" w:dyaOrig="700">
          <v:shape id="_x0000_i1031" type="#_x0000_t75" style="width:123.1pt;height:35.05pt" o:ole="">
            <v:imagedata r:id="rId32" r:pict="rId33" o:title=""/>
          </v:shape>
          <o:OLEObject Type="Embed" ProgID="Equation.DSMT4" ShapeID="_x0000_i1031" DrawAspect="Content" ObjectID="_1309509826" r:id="rId34"/>
        </w:object>
      </w:r>
      <w:r>
        <w:tab/>
        <w:t>[S28]</w:t>
      </w:r>
    </w:p>
    <w:p w:rsidR="00CE2DC5" w:rsidRPr="00D40E5C" w:rsidRDefault="00CE2DC5" w:rsidP="00CE2DC5">
      <w:r>
        <w:t>At the front where P*=G/K, the rate of propagation is fast, i.e. (</w:t>
      </w:r>
      <w:r>
        <w:sym w:font="Symbol" w:char="F070"/>
      </w:r>
      <w:r>
        <w:t>Dt)</w:t>
      </w:r>
      <w:r>
        <w:rPr>
          <w:vertAlign w:val="superscript"/>
        </w:rPr>
        <w:t>1/2</w:t>
      </w:r>
      <w:r>
        <w:t>, and at the trailing front, where P*=P</w:t>
      </w:r>
      <w:r>
        <w:rPr>
          <w:vertAlign w:val="subscript"/>
        </w:rPr>
        <w:t>o</w:t>
      </w:r>
      <w:r>
        <w:t xml:space="preserve">, the rate is zero. </w:t>
      </w:r>
    </w:p>
    <w:p w:rsidR="00D14681" w:rsidRDefault="00F93B4D"/>
    <w:sectPr w:rsidR="00D14681" w:rsidSect="003F6A7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4D" w:rsidRDefault="00F93B4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4D" w:rsidRDefault="00F93B4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4D" w:rsidRDefault="00F93B4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4D" w:rsidRDefault="00F93B4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4D" w:rsidRPr="00F93B4D" w:rsidRDefault="00F93B4D">
    <w:pPr>
      <w:pStyle w:val="Header"/>
      <w:rPr>
        <w:sz w:val="20"/>
      </w:rPr>
    </w:pPr>
    <w:r w:rsidRPr="00CA368A">
      <w:rPr>
        <w:sz w:val="20"/>
      </w:rPr>
      <w:t>Supplementary material to Wolf, Doughty, Malhi (2103) “Lateral diffusion of nutrients by mammalian herbivores in terrestrial ecosystems”, PLOS One.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4D" w:rsidRDefault="00F93B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DC5"/>
    <w:rsid w:val="00913B3C"/>
    <w:rsid w:val="00CE2DC5"/>
    <w:rsid w:val="00F93B4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C5"/>
    <w:pPr>
      <w:spacing w:line="480" w:lineRule="auto"/>
    </w:pPr>
  </w:style>
  <w:style w:type="paragraph" w:styleId="Heading1">
    <w:name w:val="heading 1"/>
    <w:basedOn w:val="Normal"/>
    <w:next w:val="Normal"/>
    <w:link w:val="Heading1Char"/>
    <w:rsid w:val="003F0F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F0F6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iblio">
    <w:name w:val="Biblio"/>
    <w:basedOn w:val="Normal"/>
    <w:qFormat/>
    <w:rsid w:val="003F0F6B"/>
    <w:pPr>
      <w:ind w:left="720" w:hanging="720"/>
    </w:pPr>
  </w:style>
  <w:style w:type="character" w:customStyle="1" w:styleId="Heading1Char">
    <w:name w:val="Heading 1 Char"/>
    <w:basedOn w:val="DefaultParagraphFont"/>
    <w:link w:val="Heading1"/>
    <w:rsid w:val="003F0F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0F6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ListParagraph">
    <w:name w:val="List Paragraph"/>
    <w:basedOn w:val="Normal"/>
    <w:rsid w:val="00CE2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B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B4D"/>
  </w:style>
  <w:style w:type="paragraph" w:styleId="Footer">
    <w:name w:val="footer"/>
    <w:basedOn w:val="Normal"/>
    <w:link w:val="FooterChar"/>
    <w:uiPriority w:val="99"/>
    <w:semiHidden/>
    <w:unhideWhenUsed/>
    <w:rsid w:val="00F93B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openxmlformats.org/officeDocument/2006/relationships/image" Target="media/image11.pict"/><Relationship Id="rId22" Type="http://schemas.openxmlformats.org/officeDocument/2006/relationships/oleObject" Target="embeddings/oleObject3.bin"/><Relationship Id="rId23" Type="http://schemas.openxmlformats.org/officeDocument/2006/relationships/image" Target="media/image12.png"/><Relationship Id="rId24" Type="http://schemas.openxmlformats.org/officeDocument/2006/relationships/image" Target="media/image13.pict"/><Relationship Id="rId25" Type="http://schemas.openxmlformats.org/officeDocument/2006/relationships/oleObject" Target="embeddings/oleObject4.bin"/><Relationship Id="rId26" Type="http://schemas.openxmlformats.org/officeDocument/2006/relationships/image" Target="media/image14.png"/><Relationship Id="rId27" Type="http://schemas.openxmlformats.org/officeDocument/2006/relationships/image" Target="media/image15.pict"/><Relationship Id="rId28" Type="http://schemas.openxmlformats.org/officeDocument/2006/relationships/oleObject" Target="embeddings/oleObject5.bin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30" Type="http://schemas.openxmlformats.org/officeDocument/2006/relationships/image" Target="media/image17.pict"/><Relationship Id="rId31" Type="http://schemas.openxmlformats.org/officeDocument/2006/relationships/oleObject" Target="embeddings/oleObject6.bin"/><Relationship Id="rId32" Type="http://schemas.openxmlformats.org/officeDocument/2006/relationships/image" Target="media/image18.png"/><Relationship Id="rId9" Type="http://schemas.openxmlformats.org/officeDocument/2006/relationships/image" Target="media/image61.png"/><Relationship Id="rId6" Type="http://schemas.openxmlformats.org/officeDocument/2006/relationships/image" Target="media/image2.pdf"/><Relationship Id="rId7" Type="http://schemas.openxmlformats.org/officeDocument/2006/relationships/image" Target="media/image41.png"/><Relationship Id="rId8" Type="http://schemas.openxmlformats.org/officeDocument/2006/relationships/image" Target="media/image3.pdf"/><Relationship Id="rId33" Type="http://schemas.openxmlformats.org/officeDocument/2006/relationships/image" Target="media/image19.pict"/><Relationship Id="rId34" Type="http://schemas.openxmlformats.org/officeDocument/2006/relationships/oleObject" Target="embeddings/oleObject7.bin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ict"/><Relationship Id="rId12" Type="http://schemas.openxmlformats.org/officeDocument/2006/relationships/oleObject" Target="embeddings/oleObject1.bin"/><Relationship Id="rId13" Type="http://schemas.openxmlformats.org/officeDocument/2006/relationships/image" Target="media/image6.png"/><Relationship Id="rId14" Type="http://schemas.openxmlformats.org/officeDocument/2006/relationships/image" Target="media/image7.pict"/><Relationship Id="rId15" Type="http://schemas.openxmlformats.org/officeDocument/2006/relationships/oleObject" Target="embeddings/oleObject2.bin"/><Relationship Id="rId16" Type="http://schemas.openxmlformats.org/officeDocument/2006/relationships/image" Target="media/image8.pdf"/><Relationship Id="rId17" Type="http://schemas.openxmlformats.org/officeDocument/2006/relationships/image" Target="media/image121.png"/><Relationship Id="rId18" Type="http://schemas.openxmlformats.org/officeDocument/2006/relationships/image" Target="media/image9.pdf"/><Relationship Id="rId19" Type="http://schemas.openxmlformats.org/officeDocument/2006/relationships/image" Target="media/image141.png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3.xml"/><Relationship Id="rId40" Type="http://schemas.openxmlformats.org/officeDocument/2006/relationships/footer" Target="footer3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2896</Characters>
  <Application>Microsoft Macintosh Word</Application>
  <DocSecurity>0</DocSecurity>
  <Lines>24</Lines>
  <Paragraphs>5</Paragraphs>
  <ScaleCrop>false</ScaleCrop>
  <Company>Stanford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Wolf</dc:creator>
  <cp:keywords/>
  <cp:lastModifiedBy>Adam Wolf</cp:lastModifiedBy>
  <cp:revision>2</cp:revision>
  <dcterms:created xsi:type="dcterms:W3CDTF">2013-07-18T12:44:00Z</dcterms:created>
  <dcterms:modified xsi:type="dcterms:W3CDTF">2013-07-18T15:55:00Z</dcterms:modified>
</cp:coreProperties>
</file>