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7D" w:rsidRDefault="00172C7D" w:rsidP="00172C7D">
      <w:pPr>
        <w:pStyle w:val="Heading2"/>
      </w:pPr>
      <w:r>
        <w:t>Methods S2. Diffusion of nutrients transported by animals</w:t>
      </w:r>
    </w:p>
    <w:p w:rsidR="00172C7D" w:rsidRDefault="00172C7D" w:rsidP="00172C7D">
      <w:r>
        <w:t>Next, we wish to adapt Equation 1 to consider the diffusion of a nutrient by a population of animals. Let P(x,t) represent the mass (kgP/km</w:t>
      </w:r>
      <w:r>
        <w:rPr>
          <w:vertAlign w:val="superscript"/>
        </w:rPr>
        <w:t>2</w:t>
      </w:r>
      <w:r>
        <w:t>) of the nutrient. The mass of P at position x at time t+</w:t>
      </w:r>
      <w:r>
        <w:sym w:font="Symbol" w:char="F044"/>
      </w:r>
      <w:r>
        <w:t>t is given by:</w:t>
      </w:r>
    </w:p>
    <w:p w:rsidR="00172C7D" w:rsidRDefault="00172C7D" w:rsidP="00172C7D">
      <w:pPr>
        <w:tabs>
          <w:tab w:val="left" w:pos="7920"/>
        </w:tabs>
      </w:pPr>
      <w:r>
        <w:rPr>
          <w:noProof/>
          <w:position w:val="-8"/>
        </w:rPr>
        <w:drawing>
          <wp:inline distT="0" distB="0" distL="0" distR="0">
            <wp:extent cx="2219325" cy="186690"/>
            <wp:effectExtent l="25400" t="0" r="0" b="0"/>
            <wp:docPr id="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2193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8"/>
        </w:rPr>
        <w:tab/>
        <w:t>[S7]</w:t>
      </w:r>
    </w:p>
    <w:p w:rsidR="00172C7D" w:rsidRDefault="00172C7D" w:rsidP="00172C7D">
      <w:r>
        <w:t xml:space="preserve">The </w:t>
      </w:r>
      <w:r>
        <w:rPr>
          <w:i/>
        </w:rPr>
        <w:t>losses</w:t>
      </w:r>
      <w:r>
        <w:t xml:space="preserve"> term in a random walk is governed by the density of animals leaving x at time t.  The loss of a nutrient in dry matter consumed and transported by a population of animals would be governed by</w:t>
      </w:r>
    </w:p>
    <w:p w:rsidR="00172C7D" w:rsidRPr="00136E8F" w:rsidRDefault="00172C7D" w:rsidP="00172C7D">
      <w:r>
        <w:rPr>
          <w:noProof/>
          <w:position w:val="-26"/>
        </w:rPr>
        <w:drawing>
          <wp:inline distT="0" distB="0" distL="0" distR="0">
            <wp:extent cx="4758690" cy="381635"/>
            <wp:effectExtent l="0" t="0" r="0" b="0"/>
            <wp:docPr id="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75869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6"/>
        </w:rPr>
        <w:tab/>
        <w:t>[S8]</w:t>
      </w:r>
    </w:p>
    <w:p w:rsidR="00172C7D" w:rsidRDefault="00172C7D" w:rsidP="00172C7D">
      <w:r>
        <w:t>The loss rate of P (kgDM/</w:t>
      </w:r>
      <w:r w:rsidRPr="005C6054">
        <w:t>km</w:t>
      </w:r>
      <w:r w:rsidRPr="005C6054">
        <w:rPr>
          <w:vertAlign w:val="superscript"/>
        </w:rPr>
        <w:t>2</w:t>
      </w:r>
      <w:r w:rsidRPr="005C6054">
        <w:t>)</w:t>
      </w:r>
      <w:r>
        <w:t xml:space="preserve"> is determined by population density of animals (PD; #/km</w:t>
      </w:r>
      <w:r>
        <w:rPr>
          <w:vertAlign w:val="superscript"/>
        </w:rPr>
        <w:t>2</w:t>
      </w:r>
      <w:r>
        <w:t>) that consume dry matter (DM) to fulfill their metabolic requirements (MR; kgDM/animal/day).  The product of PD and MR equates to a population consumption rate of DM (denoted Q here), such that Q</w:t>
      </w:r>
      <w:r>
        <w:sym w:font="Symbol" w:char="F044"/>
      </w:r>
      <w:r>
        <w:t xml:space="preserve">t is the mass of DM consumed in </w:t>
      </w:r>
      <w:r>
        <w:sym w:font="Symbol" w:char="F044"/>
      </w:r>
      <w:r>
        <w:t>t (kgDM/km</w:t>
      </w:r>
      <w:r>
        <w:rPr>
          <w:vertAlign w:val="superscript"/>
        </w:rPr>
        <w:t>2</w:t>
      </w:r>
      <w:r>
        <w:t>). The consumption of the nutrient itself is then determined by Q[P](x,t), which has units kgP/km</w:t>
      </w:r>
      <w:r>
        <w:rPr>
          <w:vertAlign w:val="superscript"/>
        </w:rPr>
        <w:t>2</w:t>
      </w:r>
      <w:r>
        <w:t>, equivalent to P, the numerator on the lhs.  Gains from adjacent regions will be represented analogously, as Q[P](x+</w:t>
      </w:r>
      <w:r>
        <w:sym w:font="Symbol" w:char="F044"/>
      </w:r>
      <w:r>
        <w:t>x,t) and Q[P](x-</w:t>
      </w:r>
      <w:r>
        <w:sym w:font="Symbol" w:char="F044"/>
      </w:r>
      <w:r>
        <w:t>x,t).</w:t>
      </w:r>
    </w:p>
    <w:p w:rsidR="00172C7D" w:rsidRDefault="00172C7D" w:rsidP="00172C7D">
      <w:r>
        <w:tab/>
        <w:t xml:space="preserve">Some fraction </w:t>
      </w:r>
      <w:r>
        <w:sym w:font="Symbol" w:char="F065"/>
      </w:r>
      <w:r>
        <w:t xml:space="preserve"> of consumed nutrient is incorporated into bodymass, while the remainder (1-</w:t>
      </w:r>
      <w:r>
        <w:sym w:font="Symbol" w:char="F065"/>
      </w:r>
      <w:r>
        <w:t>) is excreted.  We may allow that some metabolism of DM also takes place, such that the concentration of the nutrient in the feces is greater than its concentration in DM; however if there are no fates of the nutrient other than bodymass or excrement, then the loss of DM by metabolism can be ignored, i.e.</w:t>
      </w:r>
    </w:p>
    <w:p w:rsidR="00172C7D" w:rsidRDefault="00172C7D" w:rsidP="00172C7D">
      <w:r>
        <w:rPr>
          <w:noProof/>
          <w:position w:val="-26"/>
        </w:rPr>
        <w:drawing>
          <wp:inline distT="0" distB="0" distL="0" distR="0">
            <wp:extent cx="1917700" cy="390525"/>
            <wp:effectExtent l="25400" t="0" r="0" b="0"/>
            <wp:docPr id="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91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72C7D" w:rsidRDefault="00172C7D" w:rsidP="00172C7D">
      <w:pPr>
        <w:ind w:firstLine="720"/>
      </w:pPr>
      <w:r>
        <w:t>Consider the budget of just the fraction (1-</w:t>
      </w:r>
      <w:r>
        <w:sym w:font="Symbol" w:char="F065"/>
      </w:r>
      <w:r>
        <w:t>) of consumed nutrient that will be excreted:</w:t>
      </w:r>
    </w:p>
    <w:p w:rsidR="00172C7D" w:rsidRPr="005C6054" w:rsidRDefault="00172C7D" w:rsidP="00172C7D">
      <w:r>
        <w:rPr>
          <w:noProof/>
          <w:position w:val="-24"/>
        </w:rPr>
        <w:drawing>
          <wp:inline distT="0" distB="0" distL="0" distR="0">
            <wp:extent cx="4926965" cy="390525"/>
            <wp:effectExtent l="0" t="0" r="635" b="0"/>
            <wp:docPr id="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926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4"/>
        </w:rPr>
        <w:t xml:space="preserve"> [S9]</w:t>
      </w:r>
    </w:p>
    <w:p w:rsidR="00172C7D" w:rsidRDefault="00172C7D" w:rsidP="00172C7D">
      <w:r>
        <w:t>By analogy to the derivation for [S1], we arrive at the equation:</w:t>
      </w:r>
    </w:p>
    <w:p w:rsidR="00172C7D" w:rsidRDefault="00172C7D" w:rsidP="00172C7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1615440" cy="363855"/>
            <wp:effectExtent l="25400" t="0" r="0" b="0"/>
            <wp:docPr id="1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6154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[S10]</w:t>
      </w:r>
    </w:p>
    <w:p w:rsidR="00172C7D" w:rsidRDefault="00172C7D" w:rsidP="00172C7D">
      <w:pPr>
        <w:tabs>
          <w:tab w:val="left" w:pos="7200"/>
        </w:tabs>
      </w:pPr>
      <w:r>
        <w:t>Adding the fraction of nutrient incorporated into bodymass we get the complete budget equation:</w:t>
      </w:r>
    </w:p>
    <w:p w:rsidR="00172C7D" w:rsidRDefault="00172C7D" w:rsidP="00172C7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2574290" cy="363855"/>
            <wp:effectExtent l="25400" t="0" r="0" b="0"/>
            <wp:docPr id="1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7429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[S11]</w:t>
      </w:r>
    </w:p>
    <w:p w:rsidR="00172C7D" w:rsidRDefault="00172C7D" w:rsidP="00172C7D">
      <w:r>
        <w:t>The state variables on the left hand and right hand sides are not the same; P is per area and [P] is per kg DM. Let B be total plant biomass (kg DM/</w:t>
      </w:r>
      <w:r w:rsidRPr="00603F1B">
        <w:t>km</w:t>
      </w:r>
      <w:r w:rsidRPr="00603F1B">
        <w:rPr>
          <w:vertAlign w:val="superscript"/>
        </w:rPr>
        <w:t>2</w:t>
      </w:r>
      <w:r>
        <w:t>) such that [P]B=P.  We note that B has the same units as Q.  If we devide both sides by B, we get:</w:t>
      </w:r>
    </w:p>
    <w:p w:rsidR="00172C7D" w:rsidRDefault="00172C7D" w:rsidP="00172C7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2805430" cy="363855"/>
            <wp:effectExtent l="25400" t="0" r="0" b="0"/>
            <wp:docPr id="1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0543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[S12]</w:t>
      </w:r>
    </w:p>
    <w:p w:rsidR="00172C7D" w:rsidRDefault="00172C7D" w:rsidP="00172C7D">
      <w:r>
        <w:t xml:space="preserve">Equation 12 is not conceptually accurate however, because whereas B represents total plant biomass, animal consumption is only from edible parts of that biomass, say B’ = </w:t>
      </w:r>
      <w:r>
        <w:sym w:font="Symbol" w:char="F061"/>
      </w:r>
      <w:r>
        <w:t xml:space="preserve">B, where </w:t>
      </w:r>
      <w:r>
        <w:sym w:font="Symbol" w:char="F061"/>
      </w:r>
      <w:r>
        <w:t xml:space="preserve"> is the edible fraction of total biomass. Likewise, only some of the P made available by feces or bodymass is allocated to edible parts.  (It is assumed for simplicity here that all P made available is taken up, on a fast timescale). If these fractions can be assumed equal, then the resultant equation becomes:</w:t>
      </w:r>
    </w:p>
    <w:p w:rsidR="00172C7D" w:rsidRDefault="00172C7D" w:rsidP="00172C7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2965450" cy="363855"/>
            <wp:effectExtent l="25400" t="0" r="6350" b="0"/>
            <wp:docPr id="1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96545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[S13]</w:t>
      </w:r>
    </w:p>
    <w:p w:rsidR="00172C7D" w:rsidRDefault="00172C7D" w:rsidP="00172C7D">
      <w:r>
        <w:t xml:space="preserve">We have allowed that B can vary in (x,t), owing to resource gradients, and similarly, Q could vary in (x,t), by virtue of varying animal populations thriving on varying B.  It is not clear at the outset whether Q(x,t)/B(x,t) can be assumed constant, because from what data is available, in drylands vegetation is thought to increase linearly with rainfall, while animal population biomass increases exponentially </w:t>
      </w:r>
      <w:r w:rsidR="006B1AB0">
        <w:fldChar w:fldCharType="begin"/>
      </w:r>
      <w:r>
        <w:instrText xml:space="preserve"> ADDIN EN.CITE &lt;EndNote&gt;&lt;Cite&gt;&lt;Author&gt;East&lt;/Author&gt;&lt;Year&gt;1984&lt;/Year&gt;&lt;RecNum&gt;991&lt;/RecNum&gt;&lt;record&gt;&lt;rec-number&gt;991&lt;/rec-number&gt;&lt;foreign-keys&gt;&lt;key app="EN" db-id="22eatdeprxfdw4e2e9qpdz5f05st2zeap5pa"&gt;991&lt;/key&gt;&lt;/foreign-keys&gt;&lt;ref-type name="Journal Article"&gt;17&lt;/ref-type&gt;&lt;contributors&gt;&lt;authors&gt;&lt;author&gt;East, R.&lt;/author&gt;&lt;/authors&gt;&lt;/contributors&gt;&lt;titles&gt;&lt;title&gt;Rainfall, Soil Nutrient Status and Biomass of Large African Savanna Mammals&lt;/title&gt;&lt;secondary-title&gt;African Journal of Ecology&lt;/secondary-title&gt;&lt;alt-title&gt;Afr J Ecol&amp;#xD;Afr J Ecol&lt;/alt-title&gt;&lt;/titles&gt;&lt;periodical&gt;&lt;full-title&gt;African Journal of Ecology&lt;/full-title&gt;&lt;abbr-1&gt;Afr J Ecol&lt;/abbr-1&gt;&lt;/periodical&gt;&lt;pages&gt;245-270&lt;/pages&gt;&lt;volume&gt;22&lt;/volume&gt;&lt;number&gt;4&lt;/number&gt;&lt;dates&gt;&lt;year&gt;1984&lt;/year&gt;&lt;/dates&gt;&lt;isbn&gt;0141-6707&lt;/isbn&gt;&lt;accession-num&gt;ISI:A1984TT80100002&lt;/accession-num&gt;&lt;urls&gt;&lt;related-urls&gt;&lt;url&gt;&amp;lt;Go to ISI&amp;gt;://A1984TT80100002&lt;/url&gt;&lt;/related-urls&gt;&lt;/urls&gt;&lt;language&gt;English&lt;/language&gt;&lt;/record&gt;&lt;/Cite&gt;&lt;Cite&gt;&lt;Author&gt;Mcnaughton&lt;/Author&gt;&lt;Year&gt;1986&lt;/Year&gt;&lt;RecNum&gt;1121&lt;/RecNum&gt;&lt;record&gt;&lt;rec-number&gt;1121&lt;/rec-number&gt;&lt;foreign-keys&gt;&lt;key app="EN" db-id="22eatdeprxfdw4e2e9qpdz5f05st2zeap5pa"&gt;1121&lt;/key&gt;&lt;/foreign-keys&gt;&lt;ref-type name="Journal Article"&gt;17&lt;/ref-type&gt;&lt;contributors&gt;&lt;authors&gt;&lt;author&gt;McNaughton, S. J.&lt;/author&gt;&lt;author&gt;Georgiadis, N. J.&lt;/author&gt;&lt;/authors&gt;&lt;/contributors&gt;&lt;auth-address&gt;Mcnaughton, Sj&amp;#xD;Syracuse Univ,Biol Res Labs,130 Coll Pl,Syracuse,Ny 13210, USA&lt;/auth-address&gt;&lt;titles&gt;&lt;title&gt;Ecology of African Grazing and Browsing Mammals&lt;/title&gt;&lt;secondary-title&gt;Annual Review of Ecology and Systematics&lt;/secondary-title&gt;&lt;alt-title&gt;Annu Rev Ecol Syst&amp;#xD;Annu Rev Ecol Syst&lt;/alt-title&gt;&lt;/titles&gt;&lt;periodical&gt;&lt;full-title&gt;Annual Review of Ecology and Systematics&lt;/full-title&gt;&lt;abbr-1&gt;Annu Rev Ecol Syst&lt;/abbr-1&gt;&lt;/periodical&gt;&lt;pages&gt;39-65&lt;/pages&gt;&lt;volume&gt;17&lt;/volume&gt;&lt;dates&gt;&lt;year&gt;1986&lt;/year&gt;&lt;/dates&gt;&lt;isbn&gt;0066-4162&lt;/isbn&gt;&lt;accession-num&gt;ISI:A1986F014300003&lt;/accession-num&gt;&lt;urls&gt;&lt;related-urls&gt;&lt;url&gt;&amp;lt;Go to ISI&amp;gt;://A1986F014300003&lt;/url&gt;&lt;/related-urls&gt;&lt;/urls&gt;&lt;language&gt;English&lt;/language&gt;&lt;/record&gt;&lt;/Cite&gt;&lt;/EndNote&gt;</w:instrText>
      </w:r>
      <w:r w:rsidR="006B1AB0">
        <w:fldChar w:fldCharType="separate"/>
      </w:r>
      <w:r>
        <w:rPr>
          <w:noProof/>
        </w:rPr>
        <w:t>(East 1984, McNaughton and Georgiadis 1986)</w:t>
      </w:r>
      <w:r w:rsidR="006B1AB0">
        <w:fldChar w:fldCharType="end"/>
      </w:r>
      <w:r>
        <w:t>.  In a later section of this paper, this assumption will be examined more carefully, but for the moment if Q/B can be assumed locally constant, then:</w:t>
      </w:r>
    </w:p>
    <w:p w:rsidR="00172C7D" w:rsidRDefault="00172C7D" w:rsidP="00172C7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1766570" cy="363855"/>
            <wp:effectExtent l="25400" t="0" r="0" b="0"/>
            <wp:docPr id="14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76657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0"/>
        </w:rPr>
        <w:tab/>
        <w:t>[S14]</w:t>
      </w:r>
    </w:p>
    <w:p w:rsidR="00172C7D" w:rsidRDefault="00172C7D" w:rsidP="00172C7D">
      <w:r>
        <w:t xml:space="preserve">where the [P] terms on both sides have been multiplied by </w:t>
      </w:r>
      <w:r>
        <w:sym w:font="Symbol" w:char="F061"/>
      </w:r>
      <w:r>
        <w:t>B, and</w:t>
      </w:r>
    </w:p>
    <w:p w:rsidR="00172C7D" w:rsidRDefault="00172C7D" w:rsidP="00172C7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3222625" cy="399415"/>
            <wp:effectExtent l="25400" t="0" r="3175" b="0"/>
            <wp:docPr id="15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22262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0"/>
        </w:rPr>
        <w:tab/>
        <w:t>[S15]</w:t>
      </w:r>
    </w:p>
    <w:p w:rsidR="00172C7D" w:rsidRDefault="00172C7D" w:rsidP="00172C7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2130425" cy="363855"/>
            <wp:effectExtent l="25400" t="0" r="3175" b="0"/>
            <wp:docPr id="16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3042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0"/>
        </w:rPr>
        <w:tab/>
        <w:t>[S16]</w:t>
      </w:r>
    </w:p>
    <w:p w:rsidR="00172C7D" w:rsidRDefault="00172C7D" w:rsidP="00172C7D"/>
    <w:p w:rsidR="00D14681" w:rsidRDefault="00183B51"/>
    <w:sectPr w:rsidR="00D14681" w:rsidSect="003F6A7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51" w:rsidRDefault="00183B5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51" w:rsidRDefault="00183B5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51" w:rsidRDefault="00183B5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51" w:rsidRDefault="00183B5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51" w:rsidRPr="00183B51" w:rsidRDefault="00183B51">
    <w:pPr>
      <w:pStyle w:val="Header"/>
      <w:rPr>
        <w:sz w:val="20"/>
      </w:rPr>
    </w:pPr>
    <w:r w:rsidRPr="00CA368A">
      <w:rPr>
        <w:sz w:val="20"/>
      </w:rPr>
      <w:t>Supplementary material to Wolf, Doughty, Malhi (2103) “Lateral diffusion of nutrients by mammalian herbivores in terrestrial ecosystems”, PLOS One.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51" w:rsidRDefault="00183B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2C7D"/>
    <w:rsid w:val="00172C7D"/>
    <w:rsid w:val="00183B51"/>
    <w:rsid w:val="006B1AB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7D"/>
    <w:pPr>
      <w:spacing w:line="480" w:lineRule="auto"/>
    </w:pPr>
  </w:style>
  <w:style w:type="paragraph" w:styleId="Heading1">
    <w:name w:val="heading 1"/>
    <w:basedOn w:val="Normal"/>
    <w:next w:val="Normal"/>
    <w:link w:val="Heading1Char"/>
    <w:rsid w:val="003F0F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F0F6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iblio">
    <w:name w:val="Biblio"/>
    <w:basedOn w:val="Normal"/>
    <w:qFormat/>
    <w:rsid w:val="003F0F6B"/>
    <w:pPr>
      <w:ind w:left="720" w:hanging="720"/>
    </w:pPr>
  </w:style>
  <w:style w:type="character" w:customStyle="1" w:styleId="Heading1Char">
    <w:name w:val="Heading 1 Char"/>
    <w:basedOn w:val="DefaultParagraphFont"/>
    <w:link w:val="Heading1"/>
    <w:rsid w:val="003F0F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0F6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83B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B51"/>
  </w:style>
  <w:style w:type="paragraph" w:styleId="Footer">
    <w:name w:val="footer"/>
    <w:basedOn w:val="Normal"/>
    <w:link w:val="FooterChar"/>
    <w:uiPriority w:val="99"/>
    <w:semiHidden/>
    <w:unhideWhenUsed/>
    <w:rsid w:val="00183B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df"/><Relationship Id="rId21" Type="http://schemas.openxmlformats.org/officeDocument/2006/relationships/image" Target="media/image18.png"/><Relationship Id="rId22" Type="http://schemas.openxmlformats.org/officeDocument/2006/relationships/image" Target="media/image10.pdf"/><Relationship Id="rId23" Type="http://schemas.openxmlformats.org/officeDocument/2006/relationships/image" Target="media/image20.png"/><Relationship Id="rId24" Type="http://schemas.openxmlformats.org/officeDocument/2006/relationships/image" Target="media/image11.pdf"/><Relationship Id="rId25" Type="http://schemas.openxmlformats.org/officeDocument/2006/relationships/image" Target="media/image22.png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image" Target="media/image6.png"/><Relationship Id="rId6" Type="http://schemas.openxmlformats.org/officeDocument/2006/relationships/image" Target="media/image2.pdf"/><Relationship Id="rId7" Type="http://schemas.openxmlformats.org/officeDocument/2006/relationships/image" Target="media/image4.png"/><Relationship Id="rId8" Type="http://schemas.openxmlformats.org/officeDocument/2006/relationships/image" Target="media/image3.pdf"/><Relationship Id="rId33" Type="http://schemas.openxmlformats.org/officeDocument/2006/relationships/theme" Target="theme/theme1.xml"/><Relationship Id="rId10" Type="http://schemas.openxmlformats.org/officeDocument/2006/relationships/image" Target="media/image4.pdf"/><Relationship Id="rId11" Type="http://schemas.openxmlformats.org/officeDocument/2006/relationships/image" Target="media/image8.png"/><Relationship Id="rId12" Type="http://schemas.openxmlformats.org/officeDocument/2006/relationships/image" Target="media/image5.pdf"/><Relationship Id="rId13" Type="http://schemas.openxmlformats.org/officeDocument/2006/relationships/image" Target="media/image10.png"/><Relationship Id="rId14" Type="http://schemas.openxmlformats.org/officeDocument/2006/relationships/image" Target="media/image6.pdf"/><Relationship Id="rId15" Type="http://schemas.openxmlformats.org/officeDocument/2006/relationships/image" Target="media/image12.png"/><Relationship Id="rId16" Type="http://schemas.openxmlformats.org/officeDocument/2006/relationships/image" Target="media/image7.pdf"/><Relationship Id="rId17" Type="http://schemas.openxmlformats.org/officeDocument/2006/relationships/image" Target="media/image14.png"/><Relationship Id="rId18" Type="http://schemas.openxmlformats.org/officeDocument/2006/relationships/image" Target="media/image8.pdf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4334</Characters>
  <Application>Microsoft Macintosh Word</Application>
  <DocSecurity>0</DocSecurity>
  <Lines>36</Lines>
  <Paragraphs>8</Paragraphs>
  <ScaleCrop>false</ScaleCrop>
  <Company>Stanford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Wolf</dc:creator>
  <cp:keywords/>
  <cp:lastModifiedBy>Adam Wolf</cp:lastModifiedBy>
  <cp:revision>2</cp:revision>
  <dcterms:created xsi:type="dcterms:W3CDTF">2013-07-18T12:44:00Z</dcterms:created>
  <dcterms:modified xsi:type="dcterms:W3CDTF">2013-07-18T15:55:00Z</dcterms:modified>
</cp:coreProperties>
</file>