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83" w:rsidRDefault="00D23083" w:rsidP="00D23083">
      <w:pPr>
        <w:suppressAutoHyphens w:val="0"/>
        <w:spacing w:after="0" w:line="240" w:lineRule="auto"/>
        <w:rPr>
          <w:i/>
        </w:rPr>
      </w:pPr>
      <w:r w:rsidRPr="00F00D34">
        <w:rPr>
          <w:b/>
          <w:i/>
        </w:rPr>
        <w:t>Table S2.</w:t>
      </w:r>
      <w:r w:rsidRPr="00280A40">
        <w:rPr>
          <w:b/>
          <w:sz w:val="24"/>
          <w:szCs w:val="24"/>
        </w:rPr>
        <w:t xml:space="preserve"> </w:t>
      </w:r>
      <w:r w:rsidRPr="00D23083">
        <w:rPr>
          <w:i/>
        </w:rPr>
        <w:t>The effect</w:t>
      </w:r>
      <w:r w:rsidRPr="00D23083">
        <w:rPr>
          <w:i/>
          <w:vertAlign w:val="superscript"/>
        </w:rPr>
        <w:t>1</w:t>
      </w:r>
      <w:r w:rsidRPr="00D23083">
        <w:rPr>
          <w:i/>
        </w:rPr>
        <w:t xml:space="preserve"> of correction for bulk density changes on estimates of soil carbon stock changes. Corrections for bulk density changes were applied for estimates of the soil carbon stocks in rubber plantations </w:t>
      </w:r>
      <w:r w:rsidRPr="003125D5">
        <w:rPr>
          <w:i/>
        </w:rPr>
        <w:t xml:space="preserve">and </w:t>
      </w:r>
      <w:r>
        <w:rPr>
          <w:i/>
        </w:rPr>
        <w:t>for</w:t>
      </w:r>
      <w:r w:rsidRPr="003125D5">
        <w:rPr>
          <w:i/>
        </w:rPr>
        <w:t xml:space="preserve"> the estimates of absolute</w:t>
      </w:r>
      <w:r w:rsidRPr="003125D5">
        <w:rPr>
          <w:i/>
          <w:vertAlign w:val="superscript"/>
        </w:rPr>
        <w:t>2</w:t>
      </w:r>
      <w:r w:rsidRPr="003125D5">
        <w:rPr>
          <w:i/>
        </w:rPr>
        <w:t xml:space="preserve"> and relative</w:t>
      </w:r>
      <w:r w:rsidRPr="003125D5">
        <w:rPr>
          <w:i/>
          <w:vertAlign w:val="superscript"/>
        </w:rPr>
        <w:t>3</w:t>
      </w:r>
      <w:r w:rsidRPr="003125D5">
        <w:rPr>
          <w:i/>
        </w:rPr>
        <w:t xml:space="preserve"> differences in soil carbon stocks between rubber plantations and secondary forests for our own data</w:t>
      </w:r>
      <w:r w:rsidRPr="003125D5">
        <w:rPr>
          <w:i/>
          <w:vertAlign w:val="superscript"/>
        </w:rPr>
        <w:t>4</w:t>
      </w:r>
      <w:r w:rsidRPr="003125D5">
        <w:rPr>
          <w:i/>
        </w:rPr>
        <w:t xml:space="preserve"> (means ± SE), and for the cited studies that reported soil carbon concentration and bulk density data.</w:t>
      </w:r>
    </w:p>
    <w:tbl>
      <w:tblPr>
        <w:tblW w:w="14550" w:type="dxa"/>
        <w:tblInd w:w="-7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10"/>
        <w:gridCol w:w="1260"/>
        <w:gridCol w:w="1170"/>
        <w:gridCol w:w="1260"/>
        <w:gridCol w:w="1260"/>
        <w:gridCol w:w="1350"/>
        <w:gridCol w:w="1260"/>
        <w:gridCol w:w="1350"/>
        <w:gridCol w:w="1350"/>
        <w:gridCol w:w="810"/>
        <w:gridCol w:w="1770"/>
      </w:tblGrid>
      <w:tr w:rsidR="00A226AF" w:rsidRPr="00186C92" w:rsidTr="003A5C02">
        <w:trPr>
          <w:trHeight w:val="260"/>
        </w:trPr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>Soil C stock (Mg ha</w:t>
            </w:r>
            <w:r w:rsidRPr="00186C9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vertAlign w:val="superscript"/>
                <w:lang w:eastAsia="en-US"/>
              </w:rPr>
              <w:t>-1</w:t>
            </w:r>
            <w:r w:rsidRPr="00186C9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>Abs. soil C stock difference</w:t>
            </w:r>
          </w:p>
          <w:p w:rsidR="00A226AF" w:rsidRPr="00186C92" w:rsidRDefault="00A226AF" w:rsidP="00D639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>(Mg ha</w:t>
            </w:r>
            <w:r w:rsidRPr="00186C9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vertAlign w:val="superscript"/>
                <w:lang w:eastAsia="en-US"/>
              </w:rPr>
              <w:t>-1</w:t>
            </w:r>
            <w:r w:rsidRPr="00186C9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>Rel. soil C stock difference</w:t>
            </w:r>
          </w:p>
          <w:p w:rsidR="00A226AF" w:rsidRPr="00186C92" w:rsidRDefault="00A226AF" w:rsidP="00D639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226AF" w:rsidRPr="00186C92" w:rsidRDefault="00A226AF" w:rsidP="00D6399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9C529D" w:rsidRPr="00186C92" w:rsidTr="003A5C02">
        <w:trPr>
          <w:trHeight w:val="575"/>
        </w:trPr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B21CE" w:rsidRPr="00186C92" w:rsidRDefault="00BB21CE" w:rsidP="009C52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>Country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B21CE" w:rsidRPr="00186C92" w:rsidRDefault="00BB21CE" w:rsidP="009C52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>Age (year)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B21CE" w:rsidRPr="00186C92" w:rsidRDefault="00BB21CE" w:rsidP="009C52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>Depth</w:t>
            </w:r>
            <w:r w:rsidR="009C529D" w:rsidRPr="00186C9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 xml:space="preserve"> (m)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1CE" w:rsidRPr="00186C92" w:rsidRDefault="00BB21CE" w:rsidP="009C52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>Forest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1CE" w:rsidRPr="00186C92" w:rsidRDefault="00BB21CE" w:rsidP="009C52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>Rubber Pl.</w:t>
            </w:r>
          </w:p>
          <w:p w:rsidR="00BB21CE" w:rsidRPr="00186C92" w:rsidRDefault="00BB21CE" w:rsidP="009C52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>(Without BD correction)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1CE" w:rsidRPr="00186C92" w:rsidRDefault="00BB21CE" w:rsidP="009C52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 xml:space="preserve">Rubber Pl. </w:t>
            </w:r>
          </w:p>
          <w:p w:rsidR="00BB21CE" w:rsidRPr="00186C92" w:rsidRDefault="00BB21CE" w:rsidP="009C52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>(With BD correction)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1CE" w:rsidRPr="00186C92" w:rsidRDefault="00BB21CE" w:rsidP="009C52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>Without BD correction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1CE" w:rsidRPr="00186C92" w:rsidRDefault="00BB21CE" w:rsidP="009C52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>With BD correction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1CE" w:rsidRPr="00186C92" w:rsidRDefault="00BB21CE" w:rsidP="009C52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>Without BD correction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1CE" w:rsidRPr="00186C92" w:rsidRDefault="00BB21CE" w:rsidP="009C52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>With BD correction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B21CE" w:rsidRPr="00186C92" w:rsidRDefault="00BB21CE" w:rsidP="009C529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 xml:space="preserve">Effect </w:t>
            </w:r>
            <w:r w:rsidR="00D6399D" w:rsidRPr="00186C9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B21CE" w:rsidRPr="00186C92" w:rsidRDefault="00BB21CE" w:rsidP="009C52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US"/>
              </w:rPr>
              <w:t>Source</w:t>
            </w:r>
          </w:p>
        </w:tc>
      </w:tr>
      <w:tr w:rsidR="00A226AF" w:rsidRPr="00186C92" w:rsidTr="003125D5">
        <w:trPr>
          <w:trHeight w:val="300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China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5-46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0-0.15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43.9 ± 2.6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33.7 ± 1.2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30.3 ± 1.9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-10.0 ± 2.7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-11.8 ± 1.4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-21.2 ± 5.5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-26.9 ± 2.8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Own data</w:t>
            </w:r>
          </w:p>
        </w:tc>
      </w:tr>
      <w:tr w:rsidR="00A226AF" w:rsidRPr="00186C92" w:rsidTr="003125D5">
        <w:trPr>
          <w:trHeight w:val="300"/>
        </w:trPr>
        <w:tc>
          <w:tcPr>
            <w:tcW w:w="900" w:type="dxa"/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China</w:t>
            </w:r>
          </w:p>
        </w:tc>
        <w:tc>
          <w:tcPr>
            <w:tcW w:w="810" w:type="dxa"/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5-46</w:t>
            </w:r>
          </w:p>
        </w:tc>
        <w:tc>
          <w:tcPr>
            <w:tcW w:w="1260" w:type="dxa"/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0.15-0.3</w:t>
            </w:r>
          </w:p>
        </w:tc>
        <w:tc>
          <w:tcPr>
            <w:tcW w:w="117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38.9 ± 1.5</w:t>
            </w:r>
          </w:p>
        </w:tc>
        <w:tc>
          <w:tcPr>
            <w:tcW w:w="126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28.5 ± 1.4</w:t>
            </w:r>
          </w:p>
        </w:tc>
        <w:tc>
          <w:tcPr>
            <w:tcW w:w="126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29.8 ± 1.6</w:t>
            </w:r>
          </w:p>
        </w:tc>
        <w:tc>
          <w:tcPr>
            <w:tcW w:w="135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-10.4 ± 1.5</w:t>
            </w:r>
          </w:p>
        </w:tc>
        <w:tc>
          <w:tcPr>
            <w:tcW w:w="126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 xml:space="preserve">-8.2 ± 1.1 </w:t>
            </w:r>
          </w:p>
        </w:tc>
        <w:tc>
          <w:tcPr>
            <w:tcW w:w="135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-26.7 ± 3.9</w:t>
            </w:r>
          </w:p>
        </w:tc>
        <w:tc>
          <w:tcPr>
            <w:tcW w:w="135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-21.4 ± 3.2</w:t>
            </w:r>
          </w:p>
        </w:tc>
        <w:tc>
          <w:tcPr>
            <w:tcW w:w="810" w:type="dxa"/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Own data</w:t>
            </w:r>
          </w:p>
        </w:tc>
      </w:tr>
      <w:tr w:rsidR="00A226AF" w:rsidRPr="00186C92" w:rsidTr="003125D5">
        <w:trPr>
          <w:trHeight w:val="300"/>
        </w:trPr>
        <w:tc>
          <w:tcPr>
            <w:tcW w:w="900" w:type="dxa"/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China</w:t>
            </w:r>
          </w:p>
        </w:tc>
        <w:tc>
          <w:tcPr>
            <w:tcW w:w="810" w:type="dxa"/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5-46</w:t>
            </w:r>
          </w:p>
        </w:tc>
        <w:tc>
          <w:tcPr>
            <w:tcW w:w="1260" w:type="dxa"/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0.3-0.6</w:t>
            </w:r>
          </w:p>
        </w:tc>
        <w:tc>
          <w:tcPr>
            <w:tcW w:w="117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52.0 ± 1.6</w:t>
            </w:r>
          </w:p>
        </w:tc>
        <w:tc>
          <w:tcPr>
            <w:tcW w:w="126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45.4 ± 2.1</w:t>
            </w:r>
          </w:p>
        </w:tc>
        <w:tc>
          <w:tcPr>
            <w:tcW w:w="126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43.6 ± 2.6</w:t>
            </w:r>
          </w:p>
        </w:tc>
        <w:tc>
          <w:tcPr>
            <w:tcW w:w="135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-7.0 ± 2.5</w:t>
            </w:r>
          </w:p>
        </w:tc>
        <w:tc>
          <w:tcPr>
            <w:tcW w:w="126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-8.0 ± 3.0</w:t>
            </w:r>
          </w:p>
        </w:tc>
        <w:tc>
          <w:tcPr>
            <w:tcW w:w="135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-13.6 ± 4.8</w:t>
            </w:r>
          </w:p>
        </w:tc>
        <w:tc>
          <w:tcPr>
            <w:tcW w:w="135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-15.4 ± 5.6</w:t>
            </w:r>
          </w:p>
        </w:tc>
        <w:tc>
          <w:tcPr>
            <w:tcW w:w="810" w:type="dxa"/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-2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Own data</w:t>
            </w:r>
          </w:p>
        </w:tc>
      </w:tr>
      <w:tr w:rsidR="00A226AF" w:rsidRPr="00186C92" w:rsidTr="003125D5">
        <w:trPr>
          <w:trHeight w:val="300"/>
        </w:trPr>
        <w:tc>
          <w:tcPr>
            <w:tcW w:w="900" w:type="dxa"/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China</w:t>
            </w:r>
          </w:p>
        </w:tc>
        <w:tc>
          <w:tcPr>
            <w:tcW w:w="810" w:type="dxa"/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5-46</w:t>
            </w:r>
          </w:p>
        </w:tc>
        <w:tc>
          <w:tcPr>
            <w:tcW w:w="1260" w:type="dxa"/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0.6-0.9</w:t>
            </w:r>
          </w:p>
        </w:tc>
        <w:tc>
          <w:tcPr>
            <w:tcW w:w="117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35.2 ± 3.7</w:t>
            </w:r>
          </w:p>
        </w:tc>
        <w:tc>
          <w:tcPr>
            <w:tcW w:w="126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27.9 ± 1.8</w:t>
            </w:r>
          </w:p>
        </w:tc>
        <w:tc>
          <w:tcPr>
            <w:tcW w:w="126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28.0 ± 1.9</w:t>
            </w:r>
          </w:p>
        </w:tc>
        <w:tc>
          <w:tcPr>
            <w:tcW w:w="135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-7.3 ± 3.5</w:t>
            </w:r>
          </w:p>
        </w:tc>
        <w:tc>
          <w:tcPr>
            <w:tcW w:w="126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-6.5 ± 3.6</w:t>
            </w:r>
          </w:p>
        </w:tc>
        <w:tc>
          <w:tcPr>
            <w:tcW w:w="135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-18.2 ± 7.3</w:t>
            </w:r>
          </w:p>
        </w:tc>
        <w:tc>
          <w:tcPr>
            <w:tcW w:w="135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-16.0 ± 8.0</w:t>
            </w:r>
          </w:p>
        </w:tc>
        <w:tc>
          <w:tcPr>
            <w:tcW w:w="810" w:type="dxa"/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Own data</w:t>
            </w:r>
          </w:p>
        </w:tc>
      </w:tr>
      <w:tr w:rsidR="00A226AF" w:rsidRPr="00186C92" w:rsidTr="003125D5">
        <w:trPr>
          <w:trHeight w:val="300"/>
        </w:trPr>
        <w:tc>
          <w:tcPr>
            <w:tcW w:w="900" w:type="dxa"/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China</w:t>
            </w:r>
          </w:p>
        </w:tc>
        <w:tc>
          <w:tcPr>
            <w:tcW w:w="810" w:type="dxa"/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5-46</w:t>
            </w:r>
          </w:p>
        </w:tc>
        <w:tc>
          <w:tcPr>
            <w:tcW w:w="1260" w:type="dxa"/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0.9-1.2</w:t>
            </w:r>
          </w:p>
        </w:tc>
        <w:tc>
          <w:tcPr>
            <w:tcW w:w="117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26.0 ± 1.0</w:t>
            </w:r>
          </w:p>
        </w:tc>
        <w:tc>
          <w:tcPr>
            <w:tcW w:w="126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22.8 ± 1.2</w:t>
            </w:r>
          </w:p>
        </w:tc>
        <w:tc>
          <w:tcPr>
            <w:tcW w:w="126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23.1 ± 1.3</w:t>
            </w:r>
          </w:p>
        </w:tc>
        <w:tc>
          <w:tcPr>
            <w:tcW w:w="135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-3.6 ± 1.7</w:t>
            </w:r>
          </w:p>
        </w:tc>
        <w:tc>
          <w:tcPr>
            <w:tcW w:w="126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-2.9 ± 1.8</w:t>
            </w:r>
          </w:p>
        </w:tc>
        <w:tc>
          <w:tcPr>
            <w:tcW w:w="135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-13.7 ± 6.7</w:t>
            </w:r>
          </w:p>
        </w:tc>
        <w:tc>
          <w:tcPr>
            <w:tcW w:w="135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-11.2 ± 7.0</w:t>
            </w:r>
          </w:p>
        </w:tc>
        <w:tc>
          <w:tcPr>
            <w:tcW w:w="810" w:type="dxa"/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Own data</w:t>
            </w:r>
          </w:p>
        </w:tc>
      </w:tr>
      <w:tr w:rsidR="00A226AF" w:rsidRPr="00186C92" w:rsidTr="003125D5">
        <w:trPr>
          <w:trHeight w:val="300"/>
        </w:trPr>
        <w:tc>
          <w:tcPr>
            <w:tcW w:w="900" w:type="dxa"/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China</w:t>
            </w:r>
          </w:p>
        </w:tc>
        <w:tc>
          <w:tcPr>
            <w:tcW w:w="810" w:type="dxa"/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5-46</w:t>
            </w:r>
          </w:p>
        </w:tc>
        <w:tc>
          <w:tcPr>
            <w:tcW w:w="1260" w:type="dxa"/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0-1.2</w:t>
            </w:r>
          </w:p>
        </w:tc>
        <w:tc>
          <w:tcPr>
            <w:tcW w:w="117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196.0 ± 3.5</w:t>
            </w:r>
          </w:p>
        </w:tc>
        <w:tc>
          <w:tcPr>
            <w:tcW w:w="126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158.3 ± 5.6</w:t>
            </w:r>
          </w:p>
        </w:tc>
        <w:tc>
          <w:tcPr>
            <w:tcW w:w="126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154.9 ± 6.2</w:t>
            </w:r>
          </w:p>
        </w:tc>
        <w:tc>
          <w:tcPr>
            <w:tcW w:w="135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-38.3 ± 5.5</w:t>
            </w:r>
          </w:p>
        </w:tc>
        <w:tc>
          <w:tcPr>
            <w:tcW w:w="126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-37.4 ± 4.7</w:t>
            </w:r>
          </w:p>
        </w:tc>
        <w:tc>
          <w:tcPr>
            <w:tcW w:w="135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-19.7 ± 2.9</w:t>
            </w:r>
          </w:p>
        </w:tc>
        <w:tc>
          <w:tcPr>
            <w:tcW w:w="1350" w:type="dxa"/>
            <w:shd w:val="clear" w:color="auto" w:fill="auto"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-19.3 ± 2.7</w:t>
            </w:r>
          </w:p>
        </w:tc>
        <w:tc>
          <w:tcPr>
            <w:tcW w:w="810" w:type="dxa"/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Own data</w:t>
            </w:r>
          </w:p>
        </w:tc>
      </w:tr>
      <w:tr w:rsidR="00A226AF" w:rsidRPr="00186C92" w:rsidTr="003125D5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China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0-0.2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68.7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45.3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41.9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-23.4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-26.8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-34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-39</w:t>
            </w:r>
          </w:p>
        </w:tc>
        <w:tc>
          <w:tcPr>
            <w:tcW w:w="810" w:type="dxa"/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-5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A226AF" w:rsidRPr="00186C92" w:rsidRDefault="00A226AF" w:rsidP="001C717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 xml:space="preserve">Yang et al. 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[</w:t>
            </w:r>
            <w:r w:rsidR="001C71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16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]</w:t>
            </w:r>
          </w:p>
        </w:tc>
      </w:tr>
      <w:tr w:rsidR="00A226AF" w:rsidRPr="00186C92" w:rsidTr="003125D5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China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0.2-0.4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46.3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39.4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37.7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-6.8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-8.6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-15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-19</w:t>
            </w:r>
          </w:p>
        </w:tc>
        <w:tc>
          <w:tcPr>
            <w:tcW w:w="810" w:type="dxa"/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-4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A226AF" w:rsidRPr="00186C92" w:rsidRDefault="00A226AF" w:rsidP="001C717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 xml:space="preserve">Yang et al. 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[</w:t>
            </w:r>
            <w:r w:rsidR="001C71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16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]</w:t>
            </w:r>
          </w:p>
        </w:tc>
      </w:tr>
      <w:tr w:rsidR="00A226AF" w:rsidRPr="00186C92" w:rsidTr="003125D5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China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0.4-0.6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35.9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35.3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34.9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-0.6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-1.0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810" w:type="dxa"/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-1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A226AF" w:rsidRPr="00186C92" w:rsidRDefault="00A226AF" w:rsidP="001C717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 xml:space="preserve">Yang et al. 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[</w:t>
            </w:r>
            <w:r w:rsidR="001C71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16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]</w:t>
            </w:r>
          </w:p>
        </w:tc>
      </w:tr>
      <w:tr w:rsidR="00A226AF" w:rsidRPr="00186C92" w:rsidTr="003125D5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China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0-0.6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150.9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120.1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114.6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-30.8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-36.3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-20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-24</w:t>
            </w:r>
          </w:p>
        </w:tc>
        <w:tc>
          <w:tcPr>
            <w:tcW w:w="810" w:type="dxa"/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-4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A226AF" w:rsidRPr="00186C92" w:rsidRDefault="00A226AF" w:rsidP="001C717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 xml:space="preserve">Yang et al. 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[</w:t>
            </w:r>
            <w:r w:rsidR="001C71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16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]</w:t>
            </w:r>
          </w:p>
        </w:tc>
      </w:tr>
      <w:tr w:rsidR="00A226AF" w:rsidRPr="00186C92" w:rsidTr="003125D5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China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0-0.2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68.7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52.5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47.9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-16.2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-20.9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-24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-30</w:t>
            </w:r>
          </w:p>
        </w:tc>
        <w:tc>
          <w:tcPr>
            <w:tcW w:w="810" w:type="dxa"/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-7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A226AF" w:rsidRPr="00186C92" w:rsidRDefault="00A226AF" w:rsidP="001C717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 xml:space="preserve">Yang et al. 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[</w:t>
            </w:r>
            <w:r w:rsidR="001C71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16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]</w:t>
            </w:r>
          </w:p>
        </w:tc>
      </w:tr>
      <w:tr w:rsidR="00A226AF" w:rsidRPr="00186C92" w:rsidTr="003125D5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China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0.2-0.4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46.3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40.3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38.2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-6.0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-8.0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-13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-17</w:t>
            </w:r>
          </w:p>
        </w:tc>
        <w:tc>
          <w:tcPr>
            <w:tcW w:w="810" w:type="dxa"/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-4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A226AF" w:rsidRPr="00186C92" w:rsidRDefault="00A226AF" w:rsidP="001C717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 xml:space="preserve">Yang et al. 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[</w:t>
            </w:r>
            <w:r w:rsidR="001C71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16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]</w:t>
            </w:r>
          </w:p>
        </w:tc>
      </w:tr>
      <w:tr w:rsidR="00A226AF" w:rsidRPr="00186C92" w:rsidTr="003125D5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China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0.4-0.6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35.9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34.2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33.6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-1.7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-2.3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-7</w:t>
            </w:r>
          </w:p>
        </w:tc>
        <w:tc>
          <w:tcPr>
            <w:tcW w:w="810" w:type="dxa"/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-2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A226AF" w:rsidRPr="00186C92" w:rsidRDefault="00A226AF" w:rsidP="001C717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 xml:space="preserve">Yang et al. 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[</w:t>
            </w:r>
            <w:r w:rsidR="001C71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16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]</w:t>
            </w:r>
          </w:p>
        </w:tc>
      </w:tr>
      <w:tr w:rsidR="00A226AF" w:rsidRPr="00186C92" w:rsidTr="003125D5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China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0-0.6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150.9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127.0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119.6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-23.9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-31.2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-16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-21</w:t>
            </w:r>
          </w:p>
        </w:tc>
        <w:tc>
          <w:tcPr>
            <w:tcW w:w="810" w:type="dxa"/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-5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A226AF" w:rsidRPr="00186C92" w:rsidRDefault="00A226AF" w:rsidP="001C717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 xml:space="preserve">Yang et al. 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[</w:t>
            </w:r>
            <w:r w:rsidR="001C71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16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]</w:t>
            </w:r>
          </w:p>
        </w:tc>
      </w:tr>
      <w:tr w:rsidR="00A226AF" w:rsidRPr="00186C92" w:rsidTr="003125D5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Brazil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0-0.05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6.8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-2.3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-4.0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-25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-43</w:t>
            </w:r>
          </w:p>
        </w:tc>
        <w:tc>
          <w:tcPr>
            <w:tcW w:w="810" w:type="dxa"/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-18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A226AF" w:rsidRPr="00186C92" w:rsidRDefault="00A226AF" w:rsidP="001C717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Salimon</w:t>
            </w:r>
            <w:proofErr w:type="spellEnd"/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 xml:space="preserve"> et al. 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[</w:t>
            </w:r>
            <w:r w:rsidR="001C71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15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]</w:t>
            </w:r>
          </w:p>
        </w:tc>
      </w:tr>
      <w:tr w:rsidR="00A226AF" w:rsidRPr="00186C92" w:rsidTr="003125D5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Brazil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0.05-0.1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7.5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-2.8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-3.8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-37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-50</w:t>
            </w:r>
          </w:p>
        </w:tc>
        <w:tc>
          <w:tcPr>
            <w:tcW w:w="810" w:type="dxa"/>
            <w:shd w:val="clear" w:color="auto" w:fill="auto"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-13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A226AF" w:rsidRPr="00186C92" w:rsidRDefault="00A226AF" w:rsidP="001C717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Salimon</w:t>
            </w:r>
            <w:proofErr w:type="spellEnd"/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 xml:space="preserve"> et al. 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[</w:t>
            </w:r>
            <w:r w:rsidR="001C71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15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]</w:t>
            </w:r>
          </w:p>
        </w:tc>
      </w:tr>
      <w:tr w:rsidR="00A226AF" w:rsidRPr="00186C92" w:rsidTr="003125D5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Brazil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0.1-0.175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5.5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-3.8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BE3E21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-4.9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BE3E21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-41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BE3E21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-52</w:t>
            </w:r>
          </w:p>
        </w:tc>
        <w:tc>
          <w:tcPr>
            <w:tcW w:w="810" w:type="dxa"/>
            <w:shd w:val="clear" w:color="auto" w:fill="auto"/>
            <w:hideMark/>
          </w:tcPr>
          <w:p w:rsidR="00A226AF" w:rsidRPr="00BE3E21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-12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A226AF" w:rsidRPr="00186C92" w:rsidRDefault="00A226AF" w:rsidP="001C717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Salimon</w:t>
            </w:r>
            <w:proofErr w:type="spellEnd"/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 xml:space="preserve"> et al. 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[</w:t>
            </w:r>
            <w:r w:rsidR="001C71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15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]</w:t>
            </w:r>
          </w:p>
        </w:tc>
      </w:tr>
      <w:tr w:rsidR="00A226AF" w:rsidRPr="00186C92" w:rsidTr="003125D5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Brazil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0.175-0.275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10.6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7.5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7.2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-3.1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BE3E21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-3.4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BE3E21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-29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BE3E21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-32</w:t>
            </w:r>
          </w:p>
        </w:tc>
        <w:tc>
          <w:tcPr>
            <w:tcW w:w="810" w:type="dxa"/>
            <w:shd w:val="clear" w:color="auto" w:fill="auto"/>
            <w:hideMark/>
          </w:tcPr>
          <w:p w:rsidR="00A226AF" w:rsidRPr="00BE3E21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A226AF" w:rsidRPr="00186C92" w:rsidRDefault="00A226AF" w:rsidP="001C717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Salimon</w:t>
            </w:r>
            <w:proofErr w:type="spellEnd"/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 xml:space="preserve"> et al. 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[</w:t>
            </w:r>
            <w:r w:rsidR="001C71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15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]</w:t>
            </w:r>
          </w:p>
        </w:tc>
      </w:tr>
      <w:tr w:rsidR="00A226AF" w:rsidRPr="00186C92" w:rsidTr="003125D5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Brazil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0.275-0.375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BE3E21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-5.0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BE3E21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-47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BE3E21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-54</w:t>
            </w:r>
          </w:p>
        </w:tc>
        <w:tc>
          <w:tcPr>
            <w:tcW w:w="810" w:type="dxa"/>
            <w:shd w:val="clear" w:color="auto" w:fill="auto"/>
            <w:hideMark/>
          </w:tcPr>
          <w:p w:rsidR="00A226AF" w:rsidRPr="00BE3E21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-7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A226AF" w:rsidRPr="00186C92" w:rsidRDefault="00A226AF" w:rsidP="001C717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Salimon</w:t>
            </w:r>
            <w:proofErr w:type="spellEnd"/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 xml:space="preserve"> et al. 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[</w:t>
            </w:r>
            <w:r w:rsidR="001C71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15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]</w:t>
            </w:r>
          </w:p>
        </w:tc>
      </w:tr>
      <w:tr w:rsidR="00A226AF" w:rsidRPr="00186C92" w:rsidTr="003125D5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Brazil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0.375-0.475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9.8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4.8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-5.0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BE3E21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-5.2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BE3E21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-51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BE3E21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-53</w:t>
            </w:r>
          </w:p>
        </w:tc>
        <w:tc>
          <w:tcPr>
            <w:tcW w:w="810" w:type="dxa"/>
            <w:shd w:val="clear" w:color="auto" w:fill="auto"/>
            <w:hideMark/>
          </w:tcPr>
          <w:p w:rsidR="00A226AF" w:rsidRPr="00BE3E21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-2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A226AF" w:rsidRPr="00186C92" w:rsidRDefault="00A226AF" w:rsidP="001C717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Salimon</w:t>
            </w:r>
            <w:proofErr w:type="spellEnd"/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 xml:space="preserve"> et al. 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[</w:t>
            </w:r>
            <w:r w:rsidR="001C71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15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]</w:t>
            </w:r>
          </w:p>
        </w:tc>
      </w:tr>
      <w:tr w:rsidR="00A226AF" w:rsidRPr="00186C92" w:rsidTr="003125D5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Brazil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0.475-0.625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11.3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7.3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-3.4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BE3E21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-4.0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BE3E21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-30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BE3E21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-36</w:t>
            </w:r>
          </w:p>
        </w:tc>
        <w:tc>
          <w:tcPr>
            <w:tcW w:w="810" w:type="dxa"/>
            <w:shd w:val="clear" w:color="auto" w:fill="auto"/>
            <w:hideMark/>
          </w:tcPr>
          <w:p w:rsidR="00A226AF" w:rsidRPr="00BE3E21" w:rsidRDefault="00434D12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</w:t>
            </w:r>
            <w:r w:rsidR="00A226AF"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A226AF" w:rsidRPr="00186C92" w:rsidRDefault="00A226AF" w:rsidP="001C717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Salimon</w:t>
            </w:r>
            <w:proofErr w:type="spellEnd"/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 xml:space="preserve"> et al. 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[</w:t>
            </w:r>
            <w:r w:rsidR="001C71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15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]</w:t>
            </w:r>
          </w:p>
        </w:tc>
      </w:tr>
      <w:tr w:rsidR="00A226AF" w:rsidRPr="00186C92" w:rsidTr="003125D5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Brazil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0.625-0.825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6.8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-7.6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BE3E21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-8.1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BE3E21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-53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BE3E21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-57</w:t>
            </w:r>
          </w:p>
        </w:tc>
        <w:tc>
          <w:tcPr>
            <w:tcW w:w="810" w:type="dxa"/>
            <w:shd w:val="clear" w:color="auto" w:fill="auto"/>
            <w:hideMark/>
          </w:tcPr>
          <w:p w:rsidR="00A226AF" w:rsidRPr="00BE3E21" w:rsidRDefault="00434D12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</w:t>
            </w:r>
            <w:r w:rsidR="00A226AF"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A226AF" w:rsidRPr="00186C92" w:rsidRDefault="00A226AF" w:rsidP="001C717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Salimon</w:t>
            </w:r>
            <w:proofErr w:type="spellEnd"/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 xml:space="preserve"> et al. 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[</w:t>
            </w:r>
            <w:r w:rsidR="001C71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15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]</w:t>
            </w:r>
          </w:p>
        </w:tc>
      </w:tr>
      <w:tr w:rsidR="00A226AF" w:rsidRPr="00186C92" w:rsidTr="003125D5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Brazil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0.825-1.0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14.5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6.8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-7.2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BE3E21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-7.7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BE3E21" w:rsidRDefault="00434D12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</w:t>
            </w:r>
            <w:r w:rsidR="00A226AF"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BE3E21" w:rsidRDefault="00434D12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</w:t>
            </w:r>
            <w:r w:rsidR="00A226AF"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810" w:type="dxa"/>
            <w:shd w:val="clear" w:color="auto" w:fill="auto"/>
            <w:hideMark/>
          </w:tcPr>
          <w:p w:rsidR="00A226AF" w:rsidRPr="00BE3E21" w:rsidRDefault="00434D12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</w:t>
            </w:r>
            <w:r w:rsidR="00A226AF"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A226AF" w:rsidRPr="00186C92" w:rsidRDefault="00A226AF" w:rsidP="001C717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Salimon</w:t>
            </w:r>
            <w:proofErr w:type="spellEnd"/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 xml:space="preserve"> et al. 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[</w:t>
            </w:r>
            <w:r w:rsidR="001C71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15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]</w:t>
            </w:r>
          </w:p>
        </w:tc>
        <w:bookmarkStart w:id="0" w:name="_GoBack"/>
        <w:bookmarkEnd w:id="0"/>
      </w:tr>
      <w:tr w:rsidR="00A226AF" w:rsidRPr="00186C92" w:rsidTr="003125D5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Brazil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E75429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0-1.0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95.8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56.2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49.7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186C92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-39.6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226AF" w:rsidRPr="00BE3E21" w:rsidRDefault="00A226AF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-46.1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BE3E21" w:rsidRDefault="00434D12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</w:t>
            </w:r>
            <w:r w:rsidR="00A226AF"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226AF" w:rsidRPr="00BE3E21" w:rsidRDefault="00434D12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</w:t>
            </w:r>
            <w:r w:rsidR="00A226AF"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10" w:type="dxa"/>
            <w:shd w:val="clear" w:color="auto" w:fill="auto"/>
            <w:hideMark/>
          </w:tcPr>
          <w:p w:rsidR="00A226AF" w:rsidRPr="00BE3E21" w:rsidRDefault="00434D12" w:rsidP="00D6399D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r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-</w:t>
            </w:r>
            <w:r w:rsidR="00A226AF" w:rsidRPr="00BE3E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A226AF" w:rsidRPr="00186C92" w:rsidRDefault="00A226AF" w:rsidP="001C717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Salimon</w:t>
            </w:r>
            <w:proofErr w:type="spellEnd"/>
            <w:r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 xml:space="preserve"> et al. 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[</w:t>
            </w:r>
            <w:r w:rsidR="001C71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15</w:t>
            </w:r>
            <w:r w:rsidR="004C60BE" w:rsidRPr="00186C9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US"/>
              </w:rPr>
              <w:t>]</w:t>
            </w:r>
          </w:p>
        </w:tc>
      </w:tr>
    </w:tbl>
    <w:p w:rsidR="00A226AF" w:rsidRPr="009C529D" w:rsidRDefault="00A226AF" w:rsidP="003125D5">
      <w:pPr>
        <w:suppressAutoHyphens w:val="0"/>
        <w:spacing w:after="0" w:line="240" w:lineRule="auto"/>
        <w:rPr>
          <w:rFonts w:asciiTheme="minorHAnsi" w:eastAsia="Times New Roman" w:hAnsiTheme="minorHAnsi"/>
          <w:i/>
          <w:color w:val="000000"/>
          <w:lang w:eastAsia="en-US"/>
        </w:rPr>
      </w:pPr>
      <w:r w:rsidRPr="009C529D">
        <w:rPr>
          <w:i/>
        </w:rPr>
        <w:t xml:space="preserve">Rubber Pl. = Rubber plantation, </w:t>
      </w:r>
      <w:r w:rsidRPr="009C529D">
        <w:rPr>
          <w:rFonts w:asciiTheme="minorHAnsi" w:eastAsia="Times New Roman" w:hAnsiTheme="minorHAnsi"/>
          <w:i/>
          <w:color w:val="000000"/>
          <w:lang w:eastAsia="en-US"/>
        </w:rPr>
        <w:t>Abs. = Absolute, Rel. = Relative, BD = Bulk Density</w:t>
      </w:r>
    </w:p>
    <w:p w:rsidR="00A226AF" w:rsidRPr="009C529D" w:rsidRDefault="009A3CD5" w:rsidP="00312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</w:rPr>
      </w:pPr>
      <w:r w:rsidRPr="009C529D">
        <w:rPr>
          <w:i/>
          <w:vertAlign w:val="superscript"/>
        </w:rPr>
        <w:t>1</w:t>
      </w:r>
      <w:r w:rsidR="00A226AF" w:rsidRPr="009C529D">
        <w:rPr>
          <w:i/>
        </w:rPr>
        <w:t>Effect was calculated as the relative stock differences corrected for BD changes minus the relative stock differences not corrected for BD changes.</w:t>
      </w:r>
    </w:p>
    <w:p w:rsidR="00A226AF" w:rsidRPr="009C529D" w:rsidRDefault="009A3CD5" w:rsidP="00312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i/>
          <w:color w:val="000000"/>
        </w:rPr>
      </w:pPr>
      <w:r w:rsidRPr="009C529D">
        <w:rPr>
          <w:i/>
          <w:vertAlign w:val="superscript"/>
        </w:rPr>
        <w:t>2</w:t>
      </w:r>
      <w:r w:rsidR="00A226AF" w:rsidRPr="009C529D">
        <w:rPr>
          <w:rFonts w:asciiTheme="minorHAnsi" w:eastAsia="Times New Roman" w:hAnsiTheme="minorHAnsi" w:cstheme="minorHAnsi"/>
          <w:i/>
          <w:color w:val="000000"/>
        </w:rPr>
        <w:t xml:space="preserve">Absolute </w:t>
      </w:r>
      <w:r w:rsidR="00A226AF" w:rsidRPr="009C529D">
        <w:rPr>
          <w:rFonts w:eastAsia="Times New Roman" w:cs="Calibri"/>
          <w:i/>
          <w:color w:val="000000"/>
        </w:rPr>
        <w:t xml:space="preserve">differences in stocks were calculated as </w:t>
      </w:r>
      <w:r w:rsidR="007F6B1E" w:rsidRPr="009C529D">
        <w:rPr>
          <w:bCs/>
          <w:i/>
          <w:color w:val="000000"/>
        </w:rPr>
        <w:t>rubber plantations</w:t>
      </w:r>
      <w:r w:rsidR="00A226AF" w:rsidRPr="009C529D">
        <w:rPr>
          <w:bCs/>
          <w:i/>
          <w:color w:val="000000"/>
        </w:rPr>
        <w:t xml:space="preserve"> minus reference forest.</w:t>
      </w:r>
    </w:p>
    <w:p w:rsidR="00A226AF" w:rsidRPr="009C529D" w:rsidRDefault="009A3CD5" w:rsidP="00312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</w:rPr>
      </w:pPr>
      <w:r w:rsidRPr="009C529D">
        <w:rPr>
          <w:rFonts w:asciiTheme="minorHAnsi" w:eastAsia="Times New Roman" w:hAnsiTheme="minorHAnsi" w:cstheme="minorHAnsi"/>
          <w:i/>
          <w:color w:val="000000"/>
          <w:vertAlign w:val="superscript"/>
        </w:rPr>
        <w:t>3</w:t>
      </w:r>
      <w:r w:rsidR="00A226AF" w:rsidRPr="009C529D">
        <w:rPr>
          <w:rFonts w:asciiTheme="minorHAnsi" w:eastAsia="Times New Roman" w:hAnsiTheme="minorHAnsi" w:cstheme="minorHAnsi"/>
          <w:i/>
          <w:color w:val="000000"/>
        </w:rPr>
        <w:t xml:space="preserve">Relative </w:t>
      </w:r>
      <w:r w:rsidR="00A226AF" w:rsidRPr="009C529D">
        <w:rPr>
          <w:rFonts w:eastAsia="Times New Roman" w:cs="Calibri"/>
          <w:i/>
          <w:color w:val="000000"/>
        </w:rPr>
        <w:t xml:space="preserve">differences in stocks were calculated as </w:t>
      </w:r>
      <w:r w:rsidR="00A226AF" w:rsidRPr="009C529D">
        <w:rPr>
          <w:bCs/>
          <w:i/>
          <w:color w:val="000000"/>
        </w:rPr>
        <w:t>rubber plantations minus reference forest divided by reference forest multiplied by 100.</w:t>
      </w:r>
    </w:p>
    <w:p w:rsidR="00A226AF" w:rsidRPr="009C529D" w:rsidRDefault="009A3CD5" w:rsidP="00312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</w:rPr>
      </w:pPr>
      <w:r w:rsidRPr="009C529D">
        <w:rPr>
          <w:i/>
          <w:vertAlign w:val="superscript"/>
        </w:rPr>
        <w:t>4</w:t>
      </w:r>
      <w:r w:rsidR="00A226AF" w:rsidRPr="009C529D">
        <w:rPr>
          <w:i/>
        </w:rPr>
        <w:t>For our own data, the absolute and relative differences in soil C stocks were based on comparison of the means of rubber plantations with the reference forest.</w:t>
      </w:r>
    </w:p>
    <w:sectPr w:rsidR="00A226AF" w:rsidRPr="009C529D" w:rsidSect="003A5C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AF"/>
    <w:rsid w:val="00186C92"/>
    <w:rsid w:val="001B4C88"/>
    <w:rsid w:val="001C717B"/>
    <w:rsid w:val="00235B9C"/>
    <w:rsid w:val="00253A51"/>
    <w:rsid w:val="003125D5"/>
    <w:rsid w:val="0037760F"/>
    <w:rsid w:val="003A5C02"/>
    <w:rsid w:val="00434D12"/>
    <w:rsid w:val="004C60BE"/>
    <w:rsid w:val="004D4A50"/>
    <w:rsid w:val="005450CD"/>
    <w:rsid w:val="00723B4D"/>
    <w:rsid w:val="007F6B1E"/>
    <w:rsid w:val="00844194"/>
    <w:rsid w:val="008B348A"/>
    <w:rsid w:val="009A3CD5"/>
    <w:rsid w:val="009C4BA0"/>
    <w:rsid w:val="009C529D"/>
    <w:rsid w:val="00A226AF"/>
    <w:rsid w:val="00B23770"/>
    <w:rsid w:val="00BB21CE"/>
    <w:rsid w:val="00BE3E21"/>
    <w:rsid w:val="00D23083"/>
    <w:rsid w:val="00D6399D"/>
    <w:rsid w:val="00E75429"/>
    <w:rsid w:val="00EA6D6F"/>
    <w:rsid w:val="00F00D34"/>
    <w:rsid w:val="00F6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6A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226AF"/>
  </w:style>
  <w:style w:type="paragraph" w:styleId="BalloonText">
    <w:name w:val="Balloon Text"/>
    <w:basedOn w:val="Normal"/>
    <w:link w:val="BalloonTextChar"/>
    <w:uiPriority w:val="99"/>
    <w:semiHidden/>
    <w:unhideWhenUsed/>
    <w:rsid w:val="00E7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29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6A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226AF"/>
  </w:style>
  <w:style w:type="paragraph" w:styleId="BalloonText">
    <w:name w:val="Balloon Text"/>
    <w:basedOn w:val="Normal"/>
    <w:link w:val="BalloonTextChar"/>
    <w:uiPriority w:val="99"/>
    <w:semiHidden/>
    <w:unhideWhenUsed/>
    <w:rsid w:val="00E7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29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B6E71C1-53A4-4E7F-93C3-6BAA78A3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Blecourt, Marleen de</dc:creator>
  <cp:lastModifiedBy>Blecourt, Marleen de</cp:lastModifiedBy>
  <cp:revision>2</cp:revision>
  <cp:lastPrinted>2013-02-04T11:40:00Z</cp:lastPrinted>
  <dcterms:created xsi:type="dcterms:W3CDTF">2013-06-04T09:41:00Z</dcterms:created>
  <dcterms:modified xsi:type="dcterms:W3CDTF">2013-06-04T09:41:00Z</dcterms:modified>
</cp:coreProperties>
</file>