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C8E49" w14:textId="0CD622AE" w:rsidR="00253B0A" w:rsidRPr="00657583" w:rsidRDefault="004902F8" w:rsidP="00253B0A">
      <w:pPr>
        <w:rPr>
          <w:rFonts w:cs="Arial"/>
          <w:b/>
          <w:szCs w:val="20"/>
          <w:lang w:val="en-US"/>
        </w:rPr>
      </w:pPr>
      <w:r>
        <w:rPr>
          <w:rFonts w:cs="Arial"/>
          <w:b/>
          <w:szCs w:val="20"/>
          <w:lang w:val="en-US"/>
        </w:rPr>
        <w:t xml:space="preserve">Supplementary Data </w:t>
      </w:r>
      <w:r w:rsidR="004F7E42">
        <w:rPr>
          <w:rFonts w:cs="Arial"/>
          <w:b/>
          <w:szCs w:val="20"/>
          <w:lang w:val="en-US"/>
        </w:rPr>
        <w:t>S</w:t>
      </w:r>
      <w:bookmarkStart w:id="0" w:name="_GoBack"/>
      <w:bookmarkEnd w:id="0"/>
      <w:r>
        <w:rPr>
          <w:rFonts w:cs="Arial"/>
          <w:b/>
          <w:szCs w:val="20"/>
          <w:lang w:val="en-US"/>
        </w:rPr>
        <w:t>2</w:t>
      </w:r>
      <w:r w:rsidR="00253B0A" w:rsidRPr="00657583">
        <w:rPr>
          <w:rFonts w:cs="Arial"/>
          <w:b/>
          <w:szCs w:val="20"/>
          <w:lang w:val="en-US"/>
        </w:rPr>
        <w:t xml:space="preserve">. </w:t>
      </w:r>
      <w:proofErr w:type="gramStart"/>
      <w:r w:rsidR="00253B0A" w:rsidRPr="00657583">
        <w:rPr>
          <w:rFonts w:cs="Arial"/>
          <w:b/>
          <w:szCs w:val="20"/>
          <w:lang w:val="en-US"/>
        </w:rPr>
        <w:t xml:space="preserve">Validation of the </w:t>
      </w:r>
      <w:proofErr w:type="spellStart"/>
      <w:r w:rsidR="00253B0A" w:rsidRPr="00657583">
        <w:rPr>
          <w:rFonts w:cs="Arial"/>
          <w:b/>
          <w:szCs w:val="20"/>
          <w:lang w:val="en-US"/>
        </w:rPr>
        <w:t>Illumina</w:t>
      </w:r>
      <w:proofErr w:type="spellEnd"/>
      <w:r w:rsidR="00253B0A" w:rsidRPr="00657583">
        <w:rPr>
          <w:rFonts w:cs="Arial"/>
          <w:b/>
          <w:szCs w:val="20"/>
          <w:lang w:val="en-US"/>
        </w:rPr>
        <w:t xml:space="preserve"> sequencing data.</w:t>
      </w:r>
      <w:proofErr w:type="gramEnd"/>
    </w:p>
    <w:p w14:paraId="39AB4217" w14:textId="77777777" w:rsidR="00B9308A" w:rsidRDefault="00253B0A" w:rsidP="00253B0A">
      <w:pPr>
        <w:rPr>
          <w:rStyle w:val="Emphasis"/>
          <w:rFonts w:cs="Arial"/>
          <w:i w:val="0"/>
          <w:szCs w:val="20"/>
          <w:lang w:val="en-US"/>
        </w:rPr>
      </w:pPr>
      <w:r w:rsidRPr="00185D1A">
        <w:rPr>
          <w:rFonts w:cs="Arial"/>
          <w:szCs w:val="20"/>
          <w:lang w:val="en-US"/>
        </w:rPr>
        <w:t>We probed the reliability of o</w:t>
      </w:r>
      <w:r>
        <w:rPr>
          <w:rFonts w:cs="Arial"/>
          <w:szCs w:val="20"/>
          <w:lang w:val="en-US"/>
        </w:rPr>
        <w:t xml:space="preserve"> o</w:t>
      </w:r>
      <w:r w:rsidRPr="00185D1A">
        <w:rPr>
          <w:rFonts w:cs="Arial"/>
          <w:szCs w:val="20"/>
          <w:lang w:val="en-US"/>
        </w:rPr>
        <w:t>ur high-throughput sequencing approach</w:t>
      </w:r>
      <w:r w:rsidRPr="004703F2">
        <w:rPr>
          <w:rFonts w:cs="Arial"/>
          <w:szCs w:val="20"/>
          <w:lang w:val="en-US"/>
        </w:rPr>
        <w:t xml:space="preserve"> </w:t>
      </w:r>
      <w:r w:rsidRPr="00185D1A">
        <w:rPr>
          <w:rFonts w:cs="Arial"/>
          <w:szCs w:val="20"/>
          <w:lang w:val="en-US"/>
        </w:rPr>
        <w:t>using technical replicates</w:t>
      </w:r>
      <w:r>
        <w:rPr>
          <w:rFonts w:cs="Arial"/>
          <w:szCs w:val="20"/>
          <w:lang w:val="en-US"/>
        </w:rPr>
        <w:t xml:space="preserve"> </w:t>
      </w:r>
      <w:r w:rsidRPr="00185D1A">
        <w:rPr>
          <w:rFonts w:cs="Arial"/>
          <w:szCs w:val="20"/>
          <w:lang w:val="en-US"/>
        </w:rPr>
        <w:t xml:space="preserve">of the </w:t>
      </w:r>
      <w:proofErr w:type="spellStart"/>
      <w:r w:rsidRPr="00185D1A">
        <w:rPr>
          <w:rFonts w:cs="Arial"/>
          <w:szCs w:val="20"/>
          <w:lang w:val="en-US"/>
        </w:rPr>
        <w:t>smallRNA</w:t>
      </w:r>
      <w:proofErr w:type="spellEnd"/>
      <w:r w:rsidRPr="00185D1A">
        <w:rPr>
          <w:rFonts w:cs="Arial"/>
          <w:szCs w:val="20"/>
          <w:lang w:val="en-US"/>
        </w:rPr>
        <w:t xml:space="preserve"> fractions of two colorectal cancer cell lines (SW480 and SW620) and achieved Pearson correlation coefficients of 0.97 for SW480 and 0.86 for SW620 (</w:t>
      </w:r>
      <w:r w:rsidR="00B9308A">
        <w:rPr>
          <w:rFonts w:cs="Arial"/>
          <w:szCs w:val="20"/>
          <w:lang w:val="en-US"/>
        </w:rPr>
        <w:t xml:space="preserve">Supplementary data </w:t>
      </w:r>
      <w:r w:rsidR="00B9308A" w:rsidRPr="00B9308A">
        <w:rPr>
          <w:rFonts w:cs="Arial"/>
          <w:szCs w:val="20"/>
          <w:lang w:val="en-US"/>
        </w:rPr>
        <w:t>Fig. S1</w:t>
      </w:r>
      <w:r w:rsidRPr="00185D1A">
        <w:rPr>
          <w:rFonts w:cs="Arial"/>
          <w:szCs w:val="20"/>
          <w:lang w:val="en-US"/>
        </w:rPr>
        <w:t xml:space="preserve">). We furthermore validated the sequencing data with </w:t>
      </w:r>
      <w:proofErr w:type="spellStart"/>
      <w:r w:rsidRPr="00185D1A">
        <w:rPr>
          <w:rFonts w:cs="Arial"/>
          <w:szCs w:val="20"/>
          <w:lang w:val="en-US"/>
        </w:rPr>
        <w:t>TaqMan</w:t>
      </w:r>
      <w:proofErr w:type="spellEnd"/>
      <w:r w:rsidRPr="00185D1A">
        <w:rPr>
          <w:rFonts w:cs="Arial"/>
          <w:szCs w:val="20"/>
          <w:lang w:val="en-US"/>
        </w:rPr>
        <w:t xml:space="preserve"> assays for four up-regulated (miRNA-31, miRNA-135b, miRNA-183, miRNA-96) and six down-regulated microRNAs (miRNA-1, miRNA-145, miRNA-133a, miRNA-133b, miRNA-150, miRNA-375) in up to sixteen patients and achieved a Pearson’s correlation coefficient of 0.89 (</w:t>
      </w:r>
      <w:r w:rsidRPr="00B9308A">
        <w:rPr>
          <w:rFonts w:cs="Arial"/>
          <w:szCs w:val="20"/>
          <w:lang w:val="en-US"/>
        </w:rPr>
        <w:t xml:space="preserve">Supplementary </w:t>
      </w:r>
      <w:r w:rsidR="00B9308A" w:rsidRPr="00B9308A">
        <w:rPr>
          <w:rFonts w:cs="Arial"/>
          <w:szCs w:val="20"/>
          <w:lang w:val="en-US"/>
        </w:rPr>
        <w:t>data Fig</w:t>
      </w:r>
      <w:r w:rsidRPr="00B9308A">
        <w:rPr>
          <w:rFonts w:cs="Arial"/>
          <w:szCs w:val="20"/>
          <w:lang w:val="en-US"/>
        </w:rPr>
        <w:t xml:space="preserve"> S</w:t>
      </w:r>
      <w:r w:rsidR="00B9308A" w:rsidRPr="00B9308A">
        <w:rPr>
          <w:rFonts w:cs="Arial"/>
          <w:szCs w:val="20"/>
          <w:lang w:val="en-US"/>
        </w:rPr>
        <w:t>2</w:t>
      </w:r>
      <w:r w:rsidRPr="00185D1A">
        <w:rPr>
          <w:rFonts w:cs="Arial"/>
          <w:szCs w:val="20"/>
          <w:lang w:val="en-US"/>
        </w:rPr>
        <w:t xml:space="preserve">). To validate the </w:t>
      </w:r>
      <w:proofErr w:type="spellStart"/>
      <w:r w:rsidRPr="00185D1A">
        <w:rPr>
          <w:rFonts w:cs="Arial"/>
          <w:szCs w:val="20"/>
          <w:lang w:val="en-US"/>
        </w:rPr>
        <w:t>miRNA</w:t>
      </w:r>
      <w:proofErr w:type="spellEnd"/>
      <w:r w:rsidRPr="00185D1A">
        <w:rPr>
          <w:rFonts w:cs="Arial"/>
          <w:szCs w:val="20"/>
          <w:lang w:val="en-US"/>
        </w:rPr>
        <w:t xml:space="preserve"> expression analysis strategy we compared sequencing data to </w:t>
      </w:r>
      <w:proofErr w:type="spellStart"/>
      <w:r w:rsidRPr="00185D1A">
        <w:rPr>
          <w:rFonts w:cs="Arial"/>
          <w:szCs w:val="20"/>
          <w:lang w:val="en-US"/>
        </w:rPr>
        <w:t>TaqMan</w:t>
      </w:r>
      <w:proofErr w:type="spellEnd"/>
      <w:r w:rsidRPr="00185D1A">
        <w:rPr>
          <w:rFonts w:cs="Arial"/>
          <w:szCs w:val="20"/>
          <w:lang w:val="en-US"/>
        </w:rPr>
        <w:t xml:space="preserve"> data for 10 different miRNAs in up to 8 patients: Normalized log2 ratios from both datasets were plotted against each other and a linear model (y = mx + b) was fitted for two comparisons: tumor </w:t>
      </w:r>
      <w:proofErr w:type="spellStart"/>
      <w:r w:rsidRPr="00185D1A">
        <w:rPr>
          <w:rFonts w:cs="Arial"/>
          <w:szCs w:val="20"/>
          <w:lang w:val="en-US"/>
        </w:rPr>
        <w:t>vs</w:t>
      </w:r>
      <w:proofErr w:type="spellEnd"/>
      <w:r w:rsidRPr="00185D1A">
        <w:rPr>
          <w:rFonts w:cs="Arial"/>
          <w:szCs w:val="20"/>
          <w:lang w:val="en-US"/>
        </w:rPr>
        <w:t xml:space="preserve"> benign and metastasis </w:t>
      </w:r>
      <w:proofErr w:type="spellStart"/>
      <w:r w:rsidRPr="00185D1A">
        <w:rPr>
          <w:rFonts w:cs="Arial"/>
          <w:szCs w:val="20"/>
          <w:lang w:val="en-US"/>
        </w:rPr>
        <w:t>vs</w:t>
      </w:r>
      <w:proofErr w:type="spellEnd"/>
      <w:r w:rsidRPr="00185D1A">
        <w:rPr>
          <w:rFonts w:cs="Arial"/>
          <w:szCs w:val="20"/>
          <w:lang w:val="en-US"/>
        </w:rPr>
        <w:t xml:space="preserve"> benign. We calculated the </w:t>
      </w:r>
      <w:r w:rsidRPr="00185D1A">
        <w:rPr>
          <w:rStyle w:val="Emphasis"/>
          <w:rFonts w:cs="Arial"/>
          <w:szCs w:val="20"/>
          <w:lang w:val="en-US"/>
        </w:rPr>
        <w:t>Pearson</w:t>
      </w:r>
      <w:r w:rsidRPr="00185D1A">
        <w:rPr>
          <w:rFonts w:cs="Arial"/>
          <w:szCs w:val="20"/>
          <w:lang w:val="en-US"/>
        </w:rPr>
        <w:t xml:space="preserve"> product-moment </w:t>
      </w:r>
      <w:r w:rsidRPr="00185D1A">
        <w:rPr>
          <w:rStyle w:val="Emphasis"/>
          <w:rFonts w:cs="Arial"/>
          <w:szCs w:val="20"/>
          <w:lang w:val="en-US"/>
        </w:rPr>
        <w:t>correlation for both comparisons</w:t>
      </w:r>
      <w:r w:rsidRPr="00185D1A">
        <w:rPr>
          <w:rStyle w:val="Emphasis"/>
          <w:rFonts w:cs="Arial"/>
          <w:i w:val="0"/>
          <w:iCs w:val="0"/>
          <w:szCs w:val="20"/>
          <w:lang w:val="en-US"/>
        </w:rPr>
        <w:t xml:space="preserve"> to demonstrate the agreement of both datasets</w:t>
      </w:r>
      <w:r w:rsidRPr="00185D1A">
        <w:rPr>
          <w:rStyle w:val="Emphasis"/>
          <w:rFonts w:cs="Arial"/>
          <w:szCs w:val="20"/>
          <w:lang w:val="en-US"/>
        </w:rPr>
        <w:t xml:space="preserve">. </w:t>
      </w:r>
      <w:r w:rsidRPr="00185D1A">
        <w:rPr>
          <w:rStyle w:val="Emphasis"/>
          <w:rFonts w:cs="Arial"/>
          <w:i w:val="0"/>
          <w:szCs w:val="20"/>
          <w:lang w:val="en-US"/>
        </w:rPr>
        <w:t xml:space="preserve">Hierarchical clustering </w:t>
      </w:r>
      <w:proofErr w:type="gramStart"/>
      <w:r w:rsidRPr="00185D1A">
        <w:rPr>
          <w:rStyle w:val="Emphasis"/>
          <w:rFonts w:cs="Arial"/>
          <w:i w:val="0"/>
          <w:szCs w:val="20"/>
          <w:lang w:val="en-US"/>
        </w:rPr>
        <w:t>were</w:t>
      </w:r>
      <w:proofErr w:type="gramEnd"/>
      <w:r w:rsidRPr="00185D1A">
        <w:rPr>
          <w:rStyle w:val="Emphasis"/>
          <w:rFonts w:cs="Arial"/>
          <w:i w:val="0"/>
          <w:szCs w:val="20"/>
          <w:lang w:val="en-US"/>
        </w:rPr>
        <w:t xml:space="preserve"> performed with the heatmap.2-function included in the R package ‘</w:t>
      </w:r>
      <w:proofErr w:type="spellStart"/>
      <w:r w:rsidRPr="00185D1A">
        <w:rPr>
          <w:rStyle w:val="Emphasis"/>
          <w:rFonts w:cs="Arial"/>
          <w:i w:val="0"/>
          <w:szCs w:val="20"/>
          <w:lang w:val="en-US"/>
        </w:rPr>
        <w:t>gplots</w:t>
      </w:r>
      <w:proofErr w:type="spellEnd"/>
      <w:r w:rsidRPr="00185D1A">
        <w:rPr>
          <w:rStyle w:val="Emphasis"/>
          <w:rFonts w:cs="Arial"/>
          <w:i w:val="0"/>
          <w:szCs w:val="20"/>
          <w:lang w:val="en-US"/>
        </w:rPr>
        <w:t>’ using default parameters.</w:t>
      </w:r>
    </w:p>
    <w:p w14:paraId="7A132F57" w14:textId="231C4A06" w:rsidR="00B9308A" w:rsidRPr="00B9308A" w:rsidRDefault="00B62E47" w:rsidP="0046469A">
      <w:pPr>
        <w:spacing w:line="240" w:lineRule="auto"/>
        <w:rPr>
          <w:rFonts w:cs="Arial"/>
          <w:iCs/>
          <w:szCs w:val="20"/>
          <w:lang w:val="en-US"/>
        </w:rPr>
      </w:pPr>
      <w:r w:rsidRPr="00B62E47">
        <w:rPr>
          <w:rFonts w:cs="Arial"/>
          <w:iCs/>
          <w:noProof/>
          <w:szCs w:val="20"/>
          <w:lang w:val="en-US" w:eastAsia="en-US"/>
        </w:rPr>
        <w:drawing>
          <wp:inline distT="0" distB="0" distL="0" distR="0" wp14:anchorId="729D5691" wp14:editId="190EFA01">
            <wp:extent cx="5142750" cy="455317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308" cy="4553669"/>
                    </a:xfrm>
                    <a:prstGeom prst="rect">
                      <a:avLst/>
                    </a:prstGeom>
                    <a:noFill/>
                    <a:ln>
                      <a:noFill/>
                    </a:ln>
                  </pic:spPr>
                </pic:pic>
              </a:graphicData>
            </a:graphic>
          </wp:inline>
        </w:drawing>
      </w:r>
      <w:r w:rsidR="00B9308A" w:rsidRPr="00B9308A">
        <w:rPr>
          <w:rFonts w:cs="Arial"/>
          <w:b/>
          <w:bCs/>
          <w:iCs/>
          <w:szCs w:val="20"/>
          <w:lang w:val="en-US"/>
        </w:rPr>
        <w:t xml:space="preserve">Supplementary </w:t>
      </w:r>
      <w:r>
        <w:rPr>
          <w:rFonts w:cs="Arial"/>
          <w:b/>
          <w:bCs/>
          <w:iCs/>
          <w:szCs w:val="20"/>
          <w:lang w:val="en-US"/>
        </w:rPr>
        <w:t xml:space="preserve">Data </w:t>
      </w:r>
      <w:r w:rsidR="00B9308A" w:rsidRPr="00B9308A">
        <w:rPr>
          <w:rFonts w:cs="Arial"/>
          <w:b/>
          <w:bCs/>
          <w:iCs/>
          <w:szCs w:val="20"/>
          <w:lang w:val="en-US"/>
        </w:rPr>
        <w:t>Figure S</w:t>
      </w:r>
      <w:r>
        <w:rPr>
          <w:rFonts w:cs="Arial"/>
          <w:b/>
          <w:bCs/>
          <w:iCs/>
          <w:szCs w:val="20"/>
          <w:lang w:val="en-US"/>
        </w:rPr>
        <w:t>1</w:t>
      </w:r>
      <w:r w:rsidR="00B9308A" w:rsidRPr="00B9308A">
        <w:rPr>
          <w:rFonts w:cs="Arial"/>
          <w:b/>
          <w:bCs/>
          <w:iCs/>
          <w:szCs w:val="20"/>
          <w:lang w:val="en-US"/>
        </w:rPr>
        <w:t xml:space="preserve"> </w:t>
      </w:r>
      <w:r w:rsidR="00B9308A" w:rsidRPr="00B9308A">
        <w:rPr>
          <w:rFonts w:cs="Arial"/>
          <w:iCs/>
          <w:szCs w:val="20"/>
          <w:lang w:val="en-US"/>
        </w:rPr>
        <w:t xml:space="preserve">Correlation of NGS and real-time PCR analyses of </w:t>
      </w:r>
      <w:proofErr w:type="spellStart"/>
      <w:r w:rsidR="00B9308A" w:rsidRPr="00B9308A">
        <w:rPr>
          <w:rFonts w:cs="Arial"/>
          <w:iCs/>
          <w:szCs w:val="20"/>
          <w:lang w:val="en-US"/>
        </w:rPr>
        <w:t>miRNAs</w:t>
      </w:r>
      <w:proofErr w:type="spellEnd"/>
      <w:r w:rsidR="00B9308A" w:rsidRPr="00B9308A">
        <w:rPr>
          <w:rFonts w:cs="Arial"/>
          <w:iCs/>
          <w:szCs w:val="20"/>
          <w:lang w:val="en-US"/>
        </w:rPr>
        <w:t xml:space="preserve">. Depicted are the log2 ratios for 10 different </w:t>
      </w:r>
      <w:proofErr w:type="spellStart"/>
      <w:r w:rsidR="00B9308A" w:rsidRPr="00B9308A">
        <w:rPr>
          <w:rFonts w:cs="Arial"/>
          <w:iCs/>
          <w:szCs w:val="20"/>
          <w:lang w:val="en-US"/>
        </w:rPr>
        <w:t>miRNAs</w:t>
      </w:r>
      <w:proofErr w:type="spellEnd"/>
      <w:r w:rsidR="00B9308A" w:rsidRPr="00B9308A">
        <w:rPr>
          <w:rFonts w:cs="Arial"/>
          <w:iCs/>
          <w:szCs w:val="20"/>
          <w:lang w:val="en-US"/>
        </w:rPr>
        <w:t xml:space="preserve"> in up to 8 patients as determined by both technologies for the comparisons tumor (red) and metastasis (blue) versus normal.  The regression analyses resulted in Pearson correlation coefficients of 0.89 for both comparisons. The identity line (y=x) is depicted in green.</w:t>
      </w:r>
    </w:p>
    <w:p w14:paraId="4D0C1C48" w14:textId="77777777" w:rsidR="00B9308A" w:rsidRDefault="00B9308A" w:rsidP="00253B0A">
      <w:pPr>
        <w:rPr>
          <w:rStyle w:val="Emphasis"/>
          <w:rFonts w:cs="Arial"/>
          <w:i w:val="0"/>
          <w:szCs w:val="20"/>
          <w:lang w:val="en-US"/>
        </w:rPr>
      </w:pPr>
    </w:p>
    <w:p w14:paraId="64A5E3C6" w14:textId="77777777" w:rsidR="00B9308A" w:rsidRDefault="00B9308A" w:rsidP="00253B0A">
      <w:pPr>
        <w:rPr>
          <w:rStyle w:val="Emphasis"/>
          <w:rFonts w:cs="Arial"/>
          <w:i w:val="0"/>
          <w:szCs w:val="20"/>
          <w:lang w:val="en-US"/>
        </w:rPr>
      </w:pPr>
    </w:p>
    <w:p w14:paraId="4B20192B" w14:textId="77777777" w:rsidR="00CE4454" w:rsidRDefault="00CE4454" w:rsidP="00253B0A">
      <w:pPr>
        <w:rPr>
          <w:rStyle w:val="Emphasis"/>
          <w:rFonts w:cs="Arial"/>
          <w:i w:val="0"/>
          <w:iCs w:val="0"/>
          <w:szCs w:val="20"/>
          <w:lang w:val="en-US"/>
        </w:rPr>
      </w:pPr>
    </w:p>
    <w:p w14:paraId="2972523A" w14:textId="1E45A677" w:rsidR="00CE4454" w:rsidRDefault="00B62E47" w:rsidP="00253B0A">
      <w:pPr>
        <w:rPr>
          <w:rStyle w:val="Emphasis"/>
          <w:rFonts w:cs="Arial"/>
          <w:i w:val="0"/>
          <w:iCs w:val="0"/>
          <w:szCs w:val="20"/>
          <w:lang w:val="en-US"/>
        </w:rPr>
      </w:pPr>
      <w:r w:rsidRPr="0046469A">
        <w:rPr>
          <w:rFonts w:cs="Arial"/>
          <w:noProof/>
          <w:szCs w:val="20"/>
          <w:lang w:val="en-US" w:eastAsia="en-US"/>
        </w:rPr>
        <w:drawing>
          <wp:inline distT="0" distB="0" distL="0" distR="0" wp14:anchorId="6E99BF9E" wp14:editId="1B5906A3">
            <wp:extent cx="5360290" cy="6050222"/>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1761" cy="6051882"/>
                    </a:xfrm>
                    <a:prstGeom prst="rect">
                      <a:avLst/>
                    </a:prstGeom>
                    <a:noFill/>
                    <a:ln>
                      <a:noFill/>
                    </a:ln>
                  </pic:spPr>
                </pic:pic>
              </a:graphicData>
            </a:graphic>
          </wp:inline>
        </w:drawing>
      </w:r>
    </w:p>
    <w:p w14:paraId="21C9391D" w14:textId="710FD5A8" w:rsidR="00CE4454" w:rsidRPr="005005E6" w:rsidRDefault="00CE4454" w:rsidP="00253B0A">
      <w:pPr>
        <w:rPr>
          <w:rStyle w:val="Emphasis"/>
          <w:rFonts w:cs="Arial"/>
          <w:i w:val="0"/>
          <w:iCs w:val="0"/>
          <w:szCs w:val="20"/>
          <w:lang w:val="en-US"/>
        </w:rPr>
      </w:pPr>
    </w:p>
    <w:p w14:paraId="3FA0D04C" w14:textId="77777777" w:rsidR="00B62E47" w:rsidRDefault="00B62E47" w:rsidP="00B62E47">
      <w:pPr>
        <w:rPr>
          <w:lang w:val="en-US"/>
        </w:rPr>
      </w:pPr>
    </w:p>
    <w:p w14:paraId="1763C762" w14:textId="77777777" w:rsidR="00B62E47" w:rsidRDefault="00B62E47" w:rsidP="00B62E47">
      <w:pPr>
        <w:rPr>
          <w:lang w:val="en-US"/>
        </w:rPr>
      </w:pPr>
    </w:p>
    <w:p w14:paraId="69E4B0EC" w14:textId="77777777" w:rsidR="00B62E47" w:rsidRDefault="00B62E47" w:rsidP="00B62E47">
      <w:pPr>
        <w:rPr>
          <w:lang w:val="en-US"/>
        </w:rPr>
      </w:pPr>
    </w:p>
    <w:p w14:paraId="05644207" w14:textId="77777777" w:rsidR="00B62E47" w:rsidRDefault="00B62E47" w:rsidP="00B62E47">
      <w:pPr>
        <w:rPr>
          <w:lang w:val="en-US"/>
        </w:rPr>
      </w:pPr>
    </w:p>
    <w:p w14:paraId="7245B66B" w14:textId="77777777" w:rsidR="00B62E47" w:rsidRDefault="00B62E47" w:rsidP="00B62E47">
      <w:pPr>
        <w:rPr>
          <w:lang w:val="en-US"/>
        </w:rPr>
      </w:pPr>
    </w:p>
    <w:p w14:paraId="777429B1" w14:textId="77777777" w:rsidR="00B62E47" w:rsidRDefault="00B62E47" w:rsidP="00B62E47">
      <w:pPr>
        <w:rPr>
          <w:lang w:val="en-US"/>
        </w:rPr>
      </w:pPr>
      <w:r w:rsidRPr="00B62E47">
        <w:rPr>
          <w:noProof/>
          <w:lang w:val="en-US" w:eastAsia="en-US"/>
        </w:rPr>
        <w:lastRenderedPageBreak/>
        <w:drawing>
          <wp:inline distT="0" distB="0" distL="0" distR="0" wp14:anchorId="041BF5B1" wp14:editId="3FAD2A4B">
            <wp:extent cx="5760720" cy="5796875"/>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796875"/>
                    </a:xfrm>
                    <a:prstGeom prst="rect">
                      <a:avLst/>
                    </a:prstGeom>
                    <a:noFill/>
                    <a:ln>
                      <a:noFill/>
                    </a:ln>
                  </pic:spPr>
                </pic:pic>
              </a:graphicData>
            </a:graphic>
          </wp:inline>
        </w:drawing>
      </w:r>
    </w:p>
    <w:p w14:paraId="7AB37BC7" w14:textId="77777777" w:rsidR="00B62E47" w:rsidRPr="00B62E47" w:rsidRDefault="00B62E47" w:rsidP="00B62E47">
      <w:pPr>
        <w:spacing w:line="240" w:lineRule="auto"/>
        <w:rPr>
          <w:lang w:val="en-US"/>
        </w:rPr>
      </w:pPr>
      <w:proofErr w:type="gramStart"/>
      <w:r w:rsidRPr="00B62E47">
        <w:rPr>
          <w:b/>
          <w:bCs/>
          <w:lang w:val="en-US"/>
        </w:rPr>
        <w:t xml:space="preserve">Supplementary </w:t>
      </w:r>
      <w:r>
        <w:rPr>
          <w:b/>
          <w:bCs/>
          <w:lang w:val="en-US"/>
        </w:rPr>
        <w:t xml:space="preserve">data </w:t>
      </w:r>
      <w:r w:rsidRPr="00B62E47">
        <w:rPr>
          <w:b/>
          <w:bCs/>
          <w:lang w:val="en-US"/>
        </w:rPr>
        <w:t>Figure S</w:t>
      </w:r>
      <w:r>
        <w:rPr>
          <w:b/>
          <w:bCs/>
          <w:lang w:val="en-US"/>
        </w:rPr>
        <w:t>2</w:t>
      </w:r>
      <w:r w:rsidRPr="00B62E47">
        <w:rPr>
          <w:lang w:val="en-US"/>
        </w:rPr>
        <w:t>.</w:t>
      </w:r>
      <w:proofErr w:type="gramEnd"/>
      <w:r w:rsidRPr="00B62E47">
        <w:rPr>
          <w:lang w:val="en-US"/>
        </w:rPr>
        <w:t xml:space="preserve"> Validation of microRNA expression pattern generated by NGS technology, using </w:t>
      </w:r>
      <w:proofErr w:type="spellStart"/>
      <w:r w:rsidRPr="00B62E47">
        <w:rPr>
          <w:lang w:val="en-US"/>
        </w:rPr>
        <w:t>TaqMan</w:t>
      </w:r>
      <w:proofErr w:type="spellEnd"/>
      <w:r w:rsidRPr="00B62E47">
        <w:rPr>
          <w:lang w:val="en-US"/>
        </w:rPr>
        <w:t xml:space="preserve"> assays for mature </w:t>
      </w:r>
      <w:proofErr w:type="spellStart"/>
      <w:r w:rsidRPr="00B62E47">
        <w:rPr>
          <w:lang w:val="en-US"/>
        </w:rPr>
        <w:t>miRNAs</w:t>
      </w:r>
      <w:proofErr w:type="spellEnd"/>
      <w:r w:rsidRPr="00B62E47">
        <w:rPr>
          <w:lang w:val="en-US"/>
        </w:rPr>
        <w:t xml:space="preserve">. (A) Three CRC patients were analyzed on a set of 10 microRNAs (miRNA-31, miRNA-135b, miRNA-183, miRNA-96, determined as up-regulated and miRNA-1, miRNA-145, miRNA-133a, miRNA-133b, miRNA-150, miRNA-375, determined as down-regulated). The expression values were calculated using the delta </w:t>
      </w:r>
      <w:proofErr w:type="spellStart"/>
      <w:r w:rsidRPr="00B62E47">
        <w:rPr>
          <w:lang w:val="en-US"/>
        </w:rPr>
        <w:t>delta</w:t>
      </w:r>
      <w:proofErr w:type="spellEnd"/>
      <w:r w:rsidRPr="00B62E47">
        <w:rPr>
          <w:lang w:val="en-US"/>
        </w:rPr>
        <w:t xml:space="preserve"> Ct method, using RNU44 as an internal control gene. The log2ratio of tumor versus normal (top) and metastasis versus normal (bottom) was plotted for all three patients (P1-P3). (B) For a set of 4 microRNAs (miRNA-1, miRNA-145 predicted as down-regulated and miRNA-135b, miRNA-31 predicted as up-regulated) we tested the expression in tumor tissues on a larger sample set of 16 CRC patients (top). For the metastases we checked the expression levels of 8 sequenced CRC patients (bottom). The log2ratio of each patient was calculated using the delta </w:t>
      </w:r>
      <w:proofErr w:type="spellStart"/>
      <w:r w:rsidRPr="00B62E47">
        <w:rPr>
          <w:lang w:val="en-US"/>
        </w:rPr>
        <w:t>delta</w:t>
      </w:r>
      <w:proofErr w:type="spellEnd"/>
      <w:r w:rsidRPr="00B62E47">
        <w:rPr>
          <w:lang w:val="en-US"/>
        </w:rPr>
        <w:t xml:space="preserve"> Ct method with normalizations against the small nuclear RNA RNU44.</w:t>
      </w:r>
    </w:p>
    <w:p w14:paraId="52A081B8" w14:textId="7EF8F784" w:rsidR="00CE4454" w:rsidRDefault="00CE4454" w:rsidP="00B62E47">
      <w:pPr>
        <w:spacing w:line="240" w:lineRule="auto"/>
        <w:rPr>
          <w:lang w:val="en-US"/>
        </w:rPr>
      </w:pPr>
    </w:p>
    <w:sectPr w:rsidR="00CE4454" w:rsidSect="00DC0A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0A"/>
    <w:rsid w:val="00014820"/>
    <w:rsid w:val="0001598F"/>
    <w:rsid w:val="00020FCB"/>
    <w:rsid w:val="00040FAE"/>
    <w:rsid w:val="00044F5F"/>
    <w:rsid w:val="00046771"/>
    <w:rsid w:val="00046C98"/>
    <w:rsid w:val="00053B94"/>
    <w:rsid w:val="00056CF4"/>
    <w:rsid w:val="0006432F"/>
    <w:rsid w:val="00080212"/>
    <w:rsid w:val="00094EAC"/>
    <w:rsid w:val="000B40A9"/>
    <w:rsid w:val="000C21D4"/>
    <w:rsid w:val="000C3D4F"/>
    <w:rsid w:val="000C6090"/>
    <w:rsid w:val="0010198A"/>
    <w:rsid w:val="001509F6"/>
    <w:rsid w:val="00151819"/>
    <w:rsid w:val="00160EDB"/>
    <w:rsid w:val="00163C8C"/>
    <w:rsid w:val="00166CBB"/>
    <w:rsid w:val="00180294"/>
    <w:rsid w:val="00182C52"/>
    <w:rsid w:val="00194668"/>
    <w:rsid w:val="001B110C"/>
    <w:rsid w:val="001D3A59"/>
    <w:rsid w:val="001D47F0"/>
    <w:rsid w:val="002066AC"/>
    <w:rsid w:val="00230472"/>
    <w:rsid w:val="00240ED5"/>
    <w:rsid w:val="00253B0A"/>
    <w:rsid w:val="00266EB9"/>
    <w:rsid w:val="00273B6E"/>
    <w:rsid w:val="00280ACE"/>
    <w:rsid w:val="002B0343"/>
    <w:rsid w:val="002B0392"/>
    <w:rsid w:val="002C0E99"/>
    <w:rsid w:val="002D1E59"/>
    <w:rsid w:val="002E1019"/>
    <w:rsid w:val="0030429C"/>
    <w:rsid w:val="0030532B"/>
    <w:rsid w:val="00310977"/>
    <w:rsid w:val="00316498"/>
    <w:rsid w:val="003200B3"/>
    <w:rsid w:val="003333B5"/>
    <w:rsid w:val="003423B5"/>
    <w:rsid w:val="003511A2"/>
    <w:rsid w:val="003B55CC"/>
    <w:rsid w:val="003B700B"/>
    <w:rsid w:val="003C7D91"/>
    <w:rsid w:val="003D2F03"/>
    <w:rsid w:val="003D3296"/>
    <w:rsid w:val="003D3513"/>
    <w:rsid w:val="003D72E8"/>
    <w:rsid w:val="003E306E"/>
    <w:rsid w:val="003F2207"/>
    <w:rsid w:val="003F25B5"/>
    <w:rsid w:val="0040406B"/>
    <w:rsid w:val="004069E6"/>
    <w:rsid w:val="004138F5"/>
    <w:rsid w:val="00447432"/>
    <w:rsid w:val="0046469A"/>
    <w:rsid w:val="00472275"/>
    <w:rsid w:val="004902F8"/>
    <w:rsid w:val="004B199A"/>
    <w:rsid w:val="004D7789"/>
    <w:rsid w:val="004E2A17"/>
    <w:rsid w:val="004F025E"/>
    <w:rsid w:val="004F7E42"/>
    <w:rsid w:val="005046A8"/>
    <w:rsid w:val="005055B8"/>
    <w:rsid w:val="005168B1"/>
    <w:rsid w:val="00527920"/>
    <w:rsid w:val="00551C50"/>
    <w:rsid w:val="00562C88"/>
    <w:rsid w:val="00585049"/>
    <w:rsid w:val="005A0280"/>
    <w:rsid w:val="005A28C0"/>
    <w:rsid w:val="005B02B8"/>
    <w:rsid w:val="005D52BE"/>
    <w:rsid w:val="0060319E"/>
    <w:rsid w:val="00621201"/>
    <w:rsid w:val="006340E0"/>
    <w:rsid w:val="00655886"/>
    <w:rsid w:val="006A78FE"/>
    <w:rsid w:val="006C02D2"/>
    <w:rsid w:val="006C4DEF"/>
    <w:rsid w:val="006E1991"/>
    <w:rsid w:val="006E22CE"/>
    <w:rsid w:val="006E6473"/>
    <w:rsid w:val="006F7BF9"/>
    <w:rsid w:val="00703D72"/>
    <w:rsid w:val="00715213"/>
    <w:rsid w:val="00772CF9"/>
    <w:rsid w:val="007755B6"/>
    <w:rsid w:val="00787694"/>
    <w:rsid w:val="007A4254"/>
    <w:rsid w:val="007E2891"/>
    <w:rsid w:val="00802C04"/>
    <w:rsid w:val="008161A0"/>
    <w:rsid w:val="00843455"/>
    <w:rsid w:val="008A19DA"/>
    <w:rsid w:val="008C05FF"/>
    <w:rsid w:val="008C3D9D"/>
    <w:rsid w:val="008F65A8"/>
    <w:rsid w:val="00912168"/>
    <w:rsid w:val="00917B04"/>
    <w:rsid w:val="0092588A"/>
    <w:rsid w:val="009339CE"/>
    <w:rsid w:val="00935B8D"/>
    <w:rsid w:val="00954C3A"/>
    <w:rsid w:val="00995479"/>
    <w:rsid w:val="009967DC"/>
    <w:rsid w:val="00996BFE"/>
    <w:rsid w:val="009A37C6"/>
    <w:rsid w:val="009A4F71"/>
    <w:rsid w:val="009C021B"/>
    <w:rsid w:val="009C23E7"/>
    <w:rsid w:val="009C25FA"/>
    <w:rsid w:val="009D27BE"/>
    <w:rsid w:val="009F6CDE"/>
    <w:rsid w:val="00A14306"/>
    <w:rsid w:val="00A2155C"/>
    <w:rsid w:val="00A4432B"/>
    <w:rsid w:val="00A54AC6"/>
    <w:rsid w:val="00A6201D"/>
    <w:rsid w:val="00A96B53"/>
    <w:rsid w:val="00AC2720"/>
    <w:rsid w:val="00AE047B"/>
    <w:rsid w:val="00AF2A51"/>
    <w:rsid w:val="00B06FAF"/>
    <w:rsid w:val="00B200A8"/>
    <w:rsid w:val="00B43BDE"/>
    <w:rsid w:val="00B503DF"/>
    <w:rsid w:val="00B57FC0"/>
    <w:rsid w:val="00B62E47"/>
    <w:rsid w:val="00B757E1"/>
    <w:rsid w:val="00B8115A"/>
    <w:rsid w:val="00B87722"/>
    <w:rsid w:val="00B91EE6"/>
    <w:rsid w:val="00B9308A"/>
    <w:rsid w:val="00BA6D20"/>
    <w:rsid w:val="00BE0DD2"/>
    <w:rsid w:val="00C01DFC"/>
    <w:rsid w:val="00C10DF0"/>
    <w:rsid w:val="00C34F97"/>
    <w:rsid w:val="00C360C7"/>
    <w:rsid w:val="00C450A2"/>
    <w:rsid w:val="00C7049E"/>
    <w:rsid w:val="00C76256"/>
    <w:rsid w:val="00CE4454"/>
    <w:rsid w:val="00D01236"/>
    <w:rsid w:val="00D0180C"/>
    <w:rsid w:val="00D037B5"/>
    <w:rsid w:val="00D067DD"/>
    <w:rsid w:val="00D14E01"/>
    <w:rsid w:val="00D23976"/>
    <w:rsid w:val="00D37FF9"/>
    <w:rsid w:val="00D46E61"/>
    <w:rsid w:val="00D7233F"/>
    <w:rsid w:val="00D72880"/>
    <w:rsid w:val="00D87B8A"/>
    <w:rsid w:val="00DC0556"/>
    <w:rsid w:val="00DC0AE0"/>
    <w:rsid w:val="00DC3BA2"/>
    <w:rsid w:val="00DE2E57"/>
    <w:rsid w:val="00E36E22"/>
    <w:rsid w:val="00E41F6B"/>
    <w:rsid w:val="00E44871"/>
    <w:rsid w:val="00E62617"/>
    <w:rsid w:val="00E63300"/>
    <w:rsid w:val="00EB1825"/>
    <w:rsid w:val="00EB684C"/>
    <w:rsid w:val="00EC6F91"/>
    <w:rsid w:val="00ED0C8A"/>
    <w:rsid w:val="00EE3A5E"/>
    <w:rsid w:val="00F00782"/>
    <w:rsid w:val="00F202FE"/>
    <w:rsid w:val="00F250B2"/>
    <w:rsid w:val="00F26868"/>
    <w:rsid w:val="00F47C34"/>
    <w:rsid w:val="00F80F8A"/>
    <w:rsid w:val="00F82F8C"/>
    <w:rsid w:val="00F85345"/>
    <w:rsid w:val="00F91E0E"/>
    <w:rsid w:val="00FE1FE3"/>
    <w:rsid w:val="00FF0E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9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B0A"/>
    <w:pPr>
      <w:suppressAutoHyphens/>
      <w:spacing w:line="360" w:lineRule="auto"/>
      <w:jc w:val="both"/>
    </w:pPr>
    <w:rPr>
      <w:rFonts w:ascii="Arial" w:eastAsia="Calibri" w:hAnsi="Arial" w:cs="Calibri"/>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53B0A"/>
    <w:rPr>
      <w:i/>
      <w:iCs/>
    </w:rPr>
  </w:style>
  <w:style w:type="paragraph" w:styleId="BalloonText">
    <w:name w:val="Balloon Text"/>
    <w:basedOn w:val="Normal"/>
    <w:link w:val="BalloonTextChar"/>
    <w:uiPriority w:val="99"/>
    <w:semiHidden/>
    <w:unhideWhenUsed/>
    <w:rsid w:val="00CE4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454"/>
    <w:rPr>
      <w:rFonts w:ascii="Tahoma" w:eastAsia="Calibri" w:hAnsi="Tahoma" w:cs="Tahoma"/>
      <w:sz w:val="16"/>
      <w:szCs w:val="16"/>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B0A"/>
    <w:pPr>
      <w:suppressAutoHyphens/>
      <w:spacing w:line="360" w:lineRule="auto"/>
      <w:jc w:val="both"/>
    </w:pPr>
    <w:rPr>
      <w:rFonts w:ascii="Arial" w:eastAsia="Calibri" w:hAnsi="Arial" w:cs="Calibri"/>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53B0A"/>
    <w:rPr>
      <w:i/>
      <w:iCs/>
    </w:rPr>
  </w:style>
  <w:style w:type="paragraph" w:styleId="BalloonText">
    <w:name w:val="Balloon Text"/>
    <w:basedOn w:val="Normal"/>
    <w:link w:val="BalloonTextChar"/>
    <w:uiPriority w:val="99"/>
    <w:semiHidden/>
    <w:unhideWhenUsed/>
    <w:rsid w:val="00CE4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454"/>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770729">
      <w:bodyDiv w:val="1"/>
      <w:marLeft w:val="0"/>
      <w:marRight w:val="0"/>
      <w:marTop w:val="0"/>
      <w:marBottom w:val="0"/>
      <w:divBdr>
        <w:top w:val="none" w:sz="0" w:space="0" w:color="auto"/>
        <w:left w:val="none" w:sz="0" w:space="0" w:color="auto"/>
        <w:bottom w:val="none" w:sz="0" w:space="0" w:color="auto"/>
        <w:right w:val="none" w:sz="0" w:space="0" w:color="auto"/>
      </w:divBdr>
    </w:div>
    <w:div w:id="196060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410</Words>
  <Characters>2337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MPIMG MPIMG</cp:lastModifiedBy>
  <cp:revision>2</cp:revision>
  <dcterms:created xsi:type="dcterms:W3CDTF">2013-06-06T11:19:00Z</dcterms:created>
  <dcterms:modified xsi:type="dcterms:W3CDTF">2013-06-06T11:19:00Z</dcterms:modified>
</cp:coreProperties>
</file>