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AE" w:rsidRPr="000B0934" w:rsidRDefault="00421AC1" w:rsidP="00B566AE">
      <w:pPr>
        <w:rPr>
          <w:rFonts w:ascii="Arial" w:hAnsi="Arial" w:cs="Arial"/>
        </w:rPr>
      </w:pPr>
      <w:r w:rsidRPr="002059B7">
        <w:rPr>
          <w:rFonts w:ascii="Arial" w:hAnsi="Arial" w:cs="Arial"/>
          <w:b/>
        </w:rPr>
        <w:t xml:space="preserve">Table </w:t>
      </w:r>
      <w:r w:rsidR="002059B7" w:rsidRPr="002059B7">
        <w:rPr>
          <w:rFonts w:ascii="Arial" w:hAnsi="Arial" w:cs="Arial"/>
          <w:b/>
        </w:rPr>
        <w:t>S</w:t>
      </w:r>
      <w:r w:rsidRPr="002059B7">
        <w:rPr>
          <w:rFonts w:ascii="Arial" w:hAnsi="Arial" w:cs="Arial"/>
          <w:b/>
        </w:rPr>
        <w:t>3</w:t>
      </w:r>
      <w:r w:rsidR="00B566AE" w:rsidRPr="002059B7">
        <w:rPr>
          <w:rFonts w:ascii="Arial" w:hAnsi="Arial" w:cs="Arial"/>
          <w:b/>
        </w:rPr>
        <w:t>:</w:t>
      </w:r>
      <w:r w:rsidR="00B566AE" w:rsidRPr="000B0934">
        <w:rPr>
          <w:rFonts w:ascii="Arial" w:hAnsi="Arial" w:cs="Arial"/>
        </w:rPr>
        <w:t xml:space="preserve"> </w:t>
      </w:r>
      <w:r w:rsidR="00B566AE" w:rsidRPr="004828D5">
        <w:rPr>
          <w:rFonts w:ascii="Arial" w:hAnsi="Arial" w:cs="Arial"/>
          <w:b/>
        </w:rPr>
        <w:t>General discriminant analysis (GDA) models for discriminating between TB disease</w:t>
      </w:r>
      <w:r w:rsidR="004828D5" w:rsidRPr="004828D5">
        <w:rPr>
          <w:rFonts w:ascii="Arial" w:hAnsi="Arial" w:cs="Arial"/>
          <w:b/>
        </w:rPr>
        <w:t xml:space="preserve"> and no TB</w:t>
      </w:r>
      <w:r w:rsidR="00B566AE" w:rsidRPr="000B0934">
        <w:rPr>
          <w:rFonts w:ascii="Arial" w:hAnsi="Arial" w:cs="Arial"/>
        </w:rPr>
        <w:t xml:space="preserve">. The influence of outliers was scaled down by </w:t>
      </w:r>
      <w:r w:rsidR="004828D5" w:rsidRPr="000B0934">
        <w:rPr>
          <w:rFonts w:ascii="Arial" w:hAnsi="Arial" w:cs="Arial"/>
        </w:rPr>
        <w:t>trimming the</w:t>
      </w:r>
      <w:r w:rsidR="00B566AE" w:rsidRPr="000B0934">
        <w:rPr>
          <w:rFonts w:ascii="Arial" w:hAnsi="Arial" w:cs="Arial"/>
        </w:rPr>
        <w:t xml:space="preserve"> data and the GDA analysis done in all study participants, regardless of HIV infection or QFT results. In each case, effect </w:t>
      </w:r>
      <w:proofErr w:type="spellStart"/>
      <w:proofErr w:type="gramStart"/>
      <w:r w:rsidR="00B566AE" w:rsidRPr="000B0934">
        <w:rPr>
          <w:rFonts w:ascii="Arial" w:hAnsi="Arial" w:cs="Arial"/>
        </w:rPr>
        <w:t>df</w:t>
      </w:r>
      <w:proofErr w:type="spellEnd"/>
      <w:proofErr w:type="gramEnd"/>
      <w:r w:rsidR="00B566AE" w:rsidRPr="000B0934">
        <w:rPr>
          <w:rFonts w:ascii="Arial" w:hAnsi="Arial" w:cs="Arial"/>
        </w:rPr>
        <w:t xml:space="preserve"> =1, </w:t>
      </w:r>
      <w:r w:rsidR="004828D5" w:rsidRPr="000B0934">
        <w:rPr>
          <w:rFonts w:ascii="Arial" w:hAnsi="Arial" w:cs="Arial"/>
        </w:rPr>
        <w:t>error</w:t>
      </w:r>
      <w:r w:rsidR="00B566AE" w:rsidRPr="000B0934">
        <w:rPr>
          <w:rFonts w:ascii="Arial" w:hAnsi="Arial" w:cs="Arial"/>
        </w:rPr>
        <w:t xml:space="preserve"> </w:t>
      </w:r>
      <w:proofErr w:type="spellStart"/>
      <w:r w:rsidR="00B566AE" w:rsidRPr="000B0934">
        <w:rPr>
          <w:rFonts w:ascii="Arial" w:hAnsi="Arial" w:cs="Arial"/>
        </w:rPr>
        <w:t>df</w:t>
      </w:r>
      <w:proofErr w:type="spellEnd"/>
      <w:r w:rsidR="00B566AE" w:rsidRPr="000B0934">
        <w:rPr>
          <w:rFonts w:ascii="Arial" w:hAnsi="Arial" w:cs="Arial"/>
        </w:rPr>
        <w:t xml:space="preserve"> = 70.  P- </w:t>
      </w:r>
      <w:r w:rsidR="004828D5" w:rsidRPr="000B0934">
        <w:rPr>
          <w:rFonts w:ascii="Arial" w:hAnsi="Arial" w:cs="Arial"/>
        </w:rPr>
        <w:t>Values</w:t>
      </w:r>
      <w:r w:rsidR="00B566AE" w:rsidRPr="000B0934">
        <w:rPr>
          <w:rFonts w:ascii="Arial" w:hAnsi="Arial" w:cs="Arial"/>
        </w:rPr>
        <w:t xml:space="preserve"> for all the models were &lt; 0.0001. N = </w:t>
      </w:r>
      <w:proofErr w:type="spellStart"/>
      <w:r w:rsidR="00B566AE" w:rsidRPr="000B0934">
        <w:rPr>
          <w:rFonts w:ascii="Arial" w:hAnsi="Arial" w:cs="Arial"/>
        </w:rPr>
        <w:t>unstimulated</w:t>
      </w:r>
      <w:proofErr w:type="spellEnd"/>
      <w:r w:rsidR="00B566AE" w:rsidRPr="000B0934">
        <w:rPr>
          <w:rFonts w:ascii="Arial" w:hAnsi="Arial" w:cs="Arial"/>
        </w:rPr>
        <w:t xml:space="preserve"> marker levels, Ag = levels detected in antigen stimulated supernatant, Ag-N = Antigen specific marker levels obtained after background correction.</w:t>
      </w:r>
    </w:p>
    <w:tbl>
      <w:tblPr>
        <w:tblStyle w:val="LightShading"/>
        <w:tblW w:w="9451" w:type="dxa"/>
        <w:tblLayout w:type="fixed"/>
        <w:tblLook w:val="0420" w:firstRow="1" w:lastRow="0" w:firstColumn="0" w:lastColumn="0" w:noHBand="0" w:noVBand="1"/>
      </w:tblPr>
      <w:tblGrid>
        <w:gridCol w:w="1419"/>
        <w:gridCol w:w="1246"/>
        <w:gridCol w:w="1117"/>
        <w:gridCol w:w="1117"/>
        <w:gridCol w:w="1263"/>
        <w:gridCol w:w="1170"/>
        <w:gridCol w:w="1195"/>
        <w:gridCol w:w="924"/>
      </w:tblGrid>
      <w:tr w:rsidR="00B566AE" w:rsidRPr="000B0934" w:rsidTr="00205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419" w:type="dxa"/>
            <w:vMerge w:val="restart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proofErr w:type="spellStart"/>
            <w:r w:rsidRPr="000B0934">
              <w:rPr>
                <w:rFonts w:ascii="Arial" w:eastAsia="Times New Roman" w:hAnsi="Arial" w:cs="Arial"/>
                <w:color w:val="000000"/>
              </w:rPr>
              <w:t>Analytes</w:t>
            </w:r>
            <w:proofErr w:type="spellEnd"/>
          </w:p>
        </w:tc>
        <w:tc>
          <w:tcPr>
            <w:tcW w:w="3479" w:type="dxa"/>
            <w:gridSpan w:val="3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proofErr w:type="spellStart"/>
            <w:r w:rsidRPr="000B0934">
              <w:rPr>
                <w:rFonts w:ascii="Arial" w:eastAsia="Times New Roman" w:hAnsi="Arial" w:cs="Arial"/>
                <w:color w:val="000000"/>
              </w:rPr>
              <w:t>Resubstitution</w:t>
            </w:r>
            <w:proofErr w:type="spellEnd"/>
            <w:r w:rsidRPr="000B0934">
              <w:rPr>
                <w:rFonts w:ascii="Arial" w:eastAsia="Times New Roman" w:hAnsi="Arial" w:cs="Arial"/>
                <w:color w:val="000000"/>
              </w:rPr>
              <w:t xml:space="preserve"> Classification matrix</w:t>
            </w:r>
          </w:p>
        </w:tc>
        <w:tc>
          <w:tcPr>
            <w:tcW w:w="2432" w:type="dxa"/>
            <w:gridSpan w:val="2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Leave-one-out Cross validation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proofErr w:type="spellStart"/>
            <w:r w:rsidRPr="000B0934">
              <w:rPr>
                <w:rFonts w:ascii="Arial" w:eastAsia="Times New Roman" w:hAnsi="Arial" w:cs="Arial"/>
                <w:color w:val="000000"/>
              </w:rPr>
              <w:t>Wilks</w:t>
            </w:r>
            <w:proofErr w:type="spellEnd"/>
            <w:r w:rsidRPr="000B0934">
              <w:rPr>
                <w:rFonts w:ascii="Arial" w:eastAsia="Times New Roman" w:hAnsi="Arial" w:cs="Arial"/>
                <w:color w:val="000000"/>
              </w:rPr>
              <w:t xml:space="preserve"> lambda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f</w:t>
            </w:r>
          </w:p>
        </w:tc>
      </w:tr>
      <w:tr w:rsidR="00B566AE" w:rsidRPr="000B0934" w:rsidTr="0020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419" w:type="dxa"/>
            <w:vMerge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No TB (%)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TB (%)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Total (%)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No TB (%)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 xml:space="preserve">TB (%) 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</w:p>
        </w:tc>
      </w:tr>
      <w:tr w:rsidR="00B566AE" w:rsidRPr="000B0934" w:rsidTr="00205BA6">
        <w:trPr>
          <w:trHeight w:val="144"/>
        </w:trPr>
        <w:tc>
          <w:tcPr>
            <w:tcW w:w="1419" w:type="dxa"/>
          </w:tcPr>
          <w:p w:rsidR="00B566AE" w:rsidRPr="000B0934" w:rsidRDefault="00B566AE" w:rsidP="00777FD2">
            <w:pPr>
              <w:rPr>
                <w:rFonts w:ascii="Arial" w:hAnsi="Arial" w:cs="Arial"/>
                <w:sz w:val="20"/>
                <w:szCs w:val="20"/>
              </w:rPr>
            </w:pP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IFN-α2</w:t>
            </w:r>
            <w:r w:rsidRP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EB33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P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 xml:space="preserve"> IL-1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P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 xml:space="preserve"> TGF-α</w:t>
            </w:r>
            <w:r w:rsidRP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</w:rPr>
            </w:pPr>
            <w:r w:rsidRPr="000B0934">
              <w:rPr>
                <w:rFonts w:ascii="Arial" w:hAnsi="Arial" w:cs="Arial"/>
              </w:rPr>
              <w:t>82.5 (47/57)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89.5 (17/19)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84.2 (64/76)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hAnsi="Arial" w:cs="Arial"/>
              </w:rPr>
              <w:t>80.7 (46/57)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73.7 (14/19)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0.534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61.0</w:t>
            </w:r>
          </w:p>
        </w:tc>
      </w:tr>
      <w:tr w:rsidR="00B566AE" w:rsidRPr="000B0934" w:rsidTr="0020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419" w:type="dxa"/>
          </w:tcPr>
          <w:p w:rsidR="00B566AE" w:rsidRPr="000B0934" w:rsidRDefault="00B566AE" w:rsidP="00EB3353">
            <w:pPr>
              <w:rPr>
                <w:rFonts w:ascii="Arial" w:hAnsi="Arial" w:cs="Arial"/>
                <w:sz w:val="20"/>
                <w:szCs w:val="20"/>
              </w:rPr>
            </w:pP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IFN-α2</w:t>
            </w:r>
            <w:r w:rsidRP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EB335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 xml:space="preserve"> IP-10</w:t>
            </w:r>
            <w:r w:rsidRP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P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 xml:space="preserve"> TGF-α</w:t>
            </w:r>
            <w:r w:rsidRPr="00EB3353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Ag-N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(48/57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(16/19)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84.2 (64/76)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(45/57)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73.7 (14/19)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0..512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66.8</w:t>
            </w:r>
          </w:p>
        </w:tc>
      </w:tr>
      <w:tr w:rsidR="00B566AE" w:rsidRPr="000B0934" w:rsidTr="00205BA6">
        <w:trPr>
          <w:trHeight w:val="144"/>
        </w:trPr>
        <w:tc>
          <w:tcPr>
            <w:tcW w:w="1419" w:type="dxa"/>
          </w:tcPr>
          <w:p w:rsidR="00B566AE" w:rsidRPr="000B0934" w:rsidRDefault="00777FD2" w:rsidP="003643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IL-1α</w:t>
            </w:r>
            <w:r w:rsidR="00B566AE"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="00B566AE"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 xml:space="preserve"> sCD40L</w:t>
            </w:r>
            <w:r w:rsidR="00B566AE"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TGF-α</w:t>
            </w:r>
            <w:r w:rsidR="00B566AE"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Ag-N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89.5 (17/19)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85.5 (65/76)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82.5 (47/57))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(16/19)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0.476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77.1</w:t>
            </w:r>
          </w:p>
        </w:tc>
      </w:tr>
      <w:tr w:rsidR="00B566AE" w:rsidRPr="000B0934" w:rsidTr="0020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419" w:type="dxa"/>
          </w:tcPr>
          <w:p w:rsidR="00B566AE" w:rsidRPr="000B0934" w:rsidRDefault="00B566AE" w:rsidP="003643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IFN-α2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3643DB">
              <w:rPr>
                <w:rFonts w:ascii="Arial" w:eastAsia="Times New Roman" w:hAnsi="Arial" w:cs="Arial"/>
                <w:sz w:val="20"/>
                <w:szCs w:val="20"/>
              </w:rPr>
              <w:t>IL-1ra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 xml:space="preserve"> IP-10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(15/19)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82.9 (63/76)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(48/47)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73.7 (14/19)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0.480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75.7</w:t>
            </w:r>
          </w:p>
        </w:tc>
      </w:tr>
      <w:tr w:rsidR="00B566AE" w:rsidRPr="000B0934" w:rsidTr="00205BA6">
        <w:trPr>
          <w:trHeight w:val="144"/>
        </w:trPr>
        <w:tc>
          <w:tcPr>
            <w:tcW w:w="1419" w:type="dxa"/>
          </w:tcPr>
          <w:p w:rsidR="00B566AE" w:rsidRPr="000B0934" w:rsidRDefault="00B566AE" w:rsidP="003643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IFN-α2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3643DB">
              <w:rPr>
                <w:rFonts w:ascii="Arial" w:eastAsia="Times New Roman" w:hAnsi="Arial" w:cs="Arial"/>
                <w:sz w:val="20"/>
                <w:szCs w:val="20"/>
              </w:rPr>
              <w:t>TNF-α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86.0 (49/57)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(16/19)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85.5 (65/76)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82.5 (47/57)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73.7 (14/19)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0.467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79.8</w:t>
            </w:r>
          </w:p>
        </w:tc>
      </w:tr>
      <w:tr w:rsidR="00B566AE" w:rsidRPr="000B0934" w:rsidTr="0020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419" w:type="dxa"/>
          </w:tcPr>
          <w:p w:rsidR="00B566AE" w:rsidRPr="000B0934" w:rsidRDefault="00B566AE" w:rsidP="003643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IFN-α2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Pr="00364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(15/19)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82.9 (63/76)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(48/47)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73.7 (14/19)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0.467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79.9</w:t>
            </w:r>
          </w:p>
        </w:tc>
      </w:tr>
      <w:tr w:rsidR="00B566AE" w:rsidRPr="000B0934" w:rsidTr="00205BA6">
        <w:trPr>
          <w:trHeight w:val="144"/>
        </w:trPr>
        <w:tc>
          <w:tcPr>
            <w:tcW w:w="1419" w:type="dxa"/>
          </w:tcPr>
          <w:p w:rsidR="00B566AE" w:rsidRPr="000B0934" w:rsidRDefault="00777FD2" w:rsidP="001463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14638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14638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14638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14638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="00B566AE" w:rsidRPr="0014638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14638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="00B566AE" w:rsidRPr="0014638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14638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TGF-α</w:t>
            </w:r>
            <w:r w:rsidR="00B566AE" w:rsidRPr="0014638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Ag-N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86.0 (49/57)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(15/19)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84.2 (64/76)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80.7 (46/57)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68.4 (13/19)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0.0.426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94.5</w:t>
            </w:r>
          </w:p>
        </w:tc>
      </w:tr>
      <w:tr w:rsidR="00B566AE" w:rsidRPr="000B0934" w:rsidTr="0020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419" w:type="dxa"/>
          </w:tcPr>
          <w:p w:rsidR="00B566AE" w:rsidRPr="000B0934" w:rsidRDefault="00777FD2" w:rsidP="001838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18387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18387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18387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18387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="00B566AE" w:rsidRPr="0018387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18387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18387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="00B566AE" w:rsidRPr="0018387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18387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TGF-α</w:t>
            </w:r>
            <w:r w:rsidR="00B566AE" w:rsidRPr="0018387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Ag-N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86.0 (49/57)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(16/19)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85.5 (65/76)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82.5 (47/57)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73.7 (14/19)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0.422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95.8</w:t>
            </w:r>
          </w:p>
        </w:tc>
      </w:tr>
      <w:tr w:rsidR="00B566AE" w:rsidRPr="000B0934" w:rsidTr="00205BA6">
        <w:trPr>
          <w:trHeight w:val="144"/>
        </w:trPr>
        <w:tc>
          <w:tcPr>
            <w:tcW w:w="1419" w:type="dxa"/>
          </w:tcPr>
          <w:p w:rsidR="00B566AE" w:rsidRPr="000B0934" w:rsidRDefault="00B566AE" w:rsidP="00CF7C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IFN-α2</w:t>
            </w:r>
            <w:r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 xml:space="preserve"> 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TNF-α</w:t>
            </w:r>
            <w:r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(16/19)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84.2 (64/76)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82.5 (47/57)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73.7 (14/19)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0.458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82.9</w:t>
            </w:r>
          </w:p>
        </w:tc>
      </w:tr>
      <w:tr w:rsidR="00B566AE" w:rsidRPr="000B0934" w:rsidTr="0020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419" w:type="dxa"/>
          </w:tcPr>
          <w:p w:rsidR="00B566AE" w:rsidRPr="000B0934" w:rsidRDefault="00777FD2" w:rsidP="00CF7C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="00B566AE"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="00B566AE"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TGF-α</w:t>
            </w:r>
            <w:r w:rsidR="00B566AE"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Ag-N</w:t>
            </w:r>
            <w:r w:rsid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TNF-α</w:t>
            </w:r>
            <w:r w:rsidR="00B566AE"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86.0 (49/57)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(16/19)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85.5 (65/76)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82.5 (47/57)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73.7 (14/19)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0.419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97.0</w:t>
            </w:r>
          </w:p>
        </w:tc>
      </w:tr>
      <w:tr w:rsidR="00B566AE" w:rsidRPr="000B0934" w:rsidTr="00205BA6">
        <w:trPr>
          <w:trHeight w:val="144"/>
        </w:trPr>
        <w:tc>
          <w:tcPr>
            <w:tcW w:w="1419" w:type="dxa"/>
          </w:tcPr>
          <w:p w:rsidR="00B566AE" w:rsidRPr="000B0934" w:rsidRDefault="00777FD2" w:rsidP="00CF7C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 xml:space="preserve"> IL-1α2</w:t>
            </w:r>
            <w:r w:rsidR="00B566AE"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="00B566AE"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="00B566AE"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TNF-α</w:t>
            </w:r>
            <w:r w:rsidR="00B566AE" w:rsidRPr="00CF7C3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86.0 (49/57)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89.5 (17/19)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86.8 (66/76)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(48/47)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hAnsi="Arial" w:cs="Arial"/>
              </w:rPr>
              <w:t>68.4 (13/19)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0.430</w:t>
            </w:r>
          </w:p>
        </w:tc>
        <w:tc>
          <w:tcPr>
            <w:tcW w:w="924" w:type="dxa"/>
          </w:tcPr>
          <w:p w:rsidR="00B566AE" w:rsidRPr="000B0934" w:rsidDel="001A2358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92.6</w:t>
            </w:r>
          </w:p>
        </w:tc>
      </w:tr>
      <w:tr w:rsidR="00B566AE" w:rsidRPr="000B0934" w:rsidTr="0020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419" w:type="dxa"/>
          </w:tcPr>
          <w:p w:rsidR="00B566AE" w:rsidRPr="000B0934" w:rsidRDefault="00B566AE" w:rsidP="00ED35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IFN-α2</w:t>
            </w:r>
            <w:r w:rsidRPr="00ED35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ED35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Pr="00ED35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ED35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Pr="00ED35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ED35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IL-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D35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ED35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D35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lastRenderedPageBreak/>
              <w:t>84.2 (48/57)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(15/19)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82.9 (63/76)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82.5 (47/57)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78.9 (15/19)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0.478</w:t>
            </w:r>
          </w:p>
        </w:tc>
        <w:tc>
          <w:tcPr>
            <w:tcW w:w="924" w:type="dxa"/>
          </w:tcPr>
          <w:p w:rsidR="00B566AE" w:rsidRPr="000B0934" w:rsidDel="001A2358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76.4</w:t>
            </w:r>
          </w:p>
        </w:tc>
      </w:tr>
      <w:tr w:rsidR="00B566AE" w:rsidRPr="000B0934" w:rsidTr="00205BA6">
        <w:trPr>
          <w:trHeight w:val="1287"/>
        </w:trPr>
        <w:tc>
          <w:tcPr>
            <w:tcW w:w="1419" w:type="dxa"/>
          </w:tcPr>
          <w:p w:rsidR="00B566AE" w:rsidRPr="000B0934" w:rsidRDefault="00B566AE" w:rsidP="002313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9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IFN-α2</w:t>
            </w:r>
            <w:r w:rsidRP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P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TGF-α</w:t>
            </w:r>
            <w:r w:rsidRP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Ag-N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80.7 (46/57)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73.7 (14/19)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(60/76)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(45/57)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73.7 (14/19)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0.559</w:t>
            </w:r>
          </w:p>
        </w:tc>
        <w:tc>
          <w:tcPr>
            <w:tcW w:w="924" w:type="dxa"/>
          </w:tcPr>
          <w:p w:rsidR="00B566AE" w:rsidRPr="000B0934" w:rsidDel="001A2358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55.2</w:t>
            </w:r>
          </w:p>
        </w:tc>
      </w:tr>
      <w:tr w:rsidR="00B566AE" w:rsidRPr="000B0934" w:rsidTr="0020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tcW w:w="1419" w:type="dxa"/>
          </w:tcPr>
          <w:p w:rsidR="00B566AE" w:rsidRPr="000B0934" w:rsidRDefault="00B566AE" w:rsidP="002313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IFN-α2</w:t>
            </w:r>
            <w:r w:rsidRP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P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 xml:space="preserve"> sCD40L</w:t>
            </w:r>
            <w:r w:rsidRPr="0023130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86.0 (49/57)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(15/19)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84.2 (64/76)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(48/47)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78.9 (15/19)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0.475</w:t>
            </w:r>
          </w:p>
        </w:tc>
        <w:tc>
          <w:tcPr>
            <w:tcW w:w="924" w:type="dxa"/>
          </w:tcPr>
          <w:p w:rsidR="00B566AE" w:rsidRPr="000B0934" w:rsidDel="001A2358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77.3</w:t>
            </w:r>
          </w:p>
        </w:tc>
      </w:tr>
      <w:tr w:rsidR="00B566AE" w:rsidRPr="000B0934" w:rsidTr="00205BA6">
        <w:trPr>
          <w:trHeight w:val="1268"/>
        </w:trPr>
        <w:tc>
          <w:tcPr>
            <w:tcW w:w="1419" w:type="dxa"/>
          </w:tcPr>
          <w:p w:rsidR="00B566AE" w:rsidRPr="000B0934" w:rsidRDefault="00777FD2" w:rsidP="00FB6E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IL-1α</w:t>
            </w:r>
            <w:r w:rsidR="00B566AE" w:rsidRP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="00B566AE" w:rsidRP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="00B566AE" w:rsidRP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86.0 (49/57)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(15/19)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84.2 (64/76)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(48/47)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73.7 (14/19)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0.441</w:t>
            </w:r>
          </w:p>
        </w:tc>
        <w:tc>
          <w:tcPr>
            <w:tcW w:w="924" w:type="dxa"/>
          </w:tcPr>
          <w:p w:rsidR="00B566AE" w:rsidRPr="000B0934" w:rsidDel="001A2358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88.6</w:t>
            </w:r>
          </w:p>
        </w:tc>
      </w:tr>
      <w:tr w:rsidR="00B566AE" w:rsidRPr="000B0934" w:rsidTr="0020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tcW w:w="1419" w:type="dxa"/>
          </w:tcPr>
          <w:p w:rsidR="00B566AE" w:rsidRPr="000B0934" w:rsidRDefault="00B566AE" w:rsidP="00777F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IFN-α2</w:t>
            </w:r>
            <w:r w:rsidRP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IL-1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P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Pr="00FB6E2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(15/19)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82.9 (63/76)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82.5 (47/57)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78.9 (15/19)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0.494</w:t>
            </w:r>
          </w:p>
        </w:tc>
        <w:tc>
          <w:tcPr>
            <w:tcW w:w="924" w:type="dxa"/>
          </w:tcPr>
          <w:p w:rsidR="00B566AE" w:rsidRPr="000B0934" w:rsidDel="001A2358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71.7</w:t>
            </w:r>
          </w:p>
        </w:tc>
      </w:tr>
      <w:tr w:rsidR="00B566AE" w:rsidRPr="000B0934" w:rsidTr="00205BA6">
        <w:trPr>
          <w:trHeight w:val="1262"/>
        </w:trPr>
        <w:tc>
          <w:tcPr>
            <w:tcW w:w="1419" w:type="dxa"/>
          </w:tcPr>
          <w:p w:rsidR="00B566AE" w:rsidRPr="000B0934" w:rsidRDefault="00777FD2" w:rsidP="00FE26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IL-1α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Ag-N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TGF-α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Ag-N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87.7 (50/57)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(15/19)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85.5 (65/76)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82.5 (47/57)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78.9 (15/19)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0.424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95.0</w:t>
            </w:r>
          </w:p>
        </w:tc>
      </w:tr>
      <w:tr w:rsidR="00B566AE" w:rsidRPr="000B0934" w:rsidTr="0020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tcW w:w="1419" w:type="dxa"/>
          </w:tcPr>
          <w:p w:rsidR="00B566AE" w:rsidRPr="000B0934" w:rsidRDefault="00777FD2" w:rsidP="00FE26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IL-1α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(15/19)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82.9 (63/76)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82.5 (47/57)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73.7 (14/19)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0.438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89.7</w:t>
            </w:r>
          </w:p>
        </w:tc>
      </w:tr>
      <w:tr w:rsidR="00B566AE" w:rsidRPr="000B0934" w:rsidTr="00205BA6">
        <w:trPr>
          <w:trHeight w:val="1270"/>
        </w:trPr>
        <w:tc>
          <w:tcPr>
            <w:tcW w:w="1419" w:type="dxa"/>
          </w:tcPr>
          <w:p w:rsidR="00B566AE" w:rsidRPr="000B0934" w:rsidRDefault="00B566AE" w:rsidP="00FE26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IFN-α2</w:t>
            </w:r>
            <w:r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777FD2"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Ag-N</w:t>
            </w:r>
            <w:r w:rsidR="00FE2692">
              <w:rPr>
                <w:rFonts w:ascii="Arial" w:eastAsia="Times New Roman" w:hAnsi="Arial" w:cs="Arial"/>
                <w:sz w:val="20"/>
                <w:szCs w:val="20"/>
              </w:rPr>
              <w:t xml:space="preserve"> IP-10</w:t>
            </w:r>
            <w:r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78.9 (15/19)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82.9 (63/76)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82.5 (47/57)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78.9 (15/19)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0.466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80.4</w:t>
            </w:r>
          </w:p>
        </w:tc>
      </w:tr>
      <w:tr w:rsidR="00B566AE" w:rsidRPr="000B0934" w:rsidTr="0020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tcW w:w="1419" w:type="dxa"/>
          </w:tcPr>
          <w:p w:rsidR="00B566AE" w:rsidRPr="000B0934" w:rsidRDefault="00777FD2" w:rsidP="00FE26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IL-1R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IL-1α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IP-10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sCD40L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Ag</w:t>
            </w:r>
            <w:r w:rsid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="00B566AE" w:rsidRPr="000B0934">
              <w:rPr>
                <w:rFonts w:ascii="Arial" w:eastAsia="Times New Roman" w:hAnsi="Arial" w:cs="Arial"/>
                <w:sz w:val="20"/>
                <w:szCs w:val="20"/>
              </w:rPr>
              <w:t>TNF-α</w:t>
            </w:r>
            <w:r w:rsidR="00B566AE" w:rsidRPr="00FE269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246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86.0 (49/57)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89.5 (17/19)</w:t>
            </w:r>
          </w:p>
        </w:tc>
        <w:tc>
          <w:tcPr>
            <w:tcW w:w="1117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86.8 (66/76)</w:t>
            </w:r>
          </w:p>
        </w:tc>
        <w:tc>
          <w:tcPr>
            <w:tcW w:w="1263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84.2 (48/47)</w:t>
            </w:r>
          </w:p>
        </w:tc>
        <w:tc>
          <w:tcPr>
            <w:tcW w:w="1170" w:type="dxa"/>
          </w:tcPr>
          <w:p w:rsidR="00B566AE" w:rsidRPr="000B0934" w:rsidRDefault="00B566AE" w:rsidP="00855192">
            <w:pPr>
              <w:rPr>
                <w:rFonts w:ascii="Arial" w:eastAsia="Times New Roman" w:hAnsi="Arial" w:cs="Arial"/>
                <w:color w:val="000000"/>
              </w:rPr>
            </w:pPr>
            <w:r w:rsidRPr="000B0934">
              <w:rPr>
                <w:rFonts w:ascii="Arial" w:eastAsia="Times New Roman" w:hAnsi="Arial" w:cs="Arial"/>
                <w:color w:val="000000"/>
              </w:rPr>
              <w:t>84.2 (16/19)</w:t>
            </w:r>
          </w:p>
        </w:tc>
        <w:tc>
          <w:tcPr>
            <w:tcW w:w="1195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0.445</w:t>
            </w:r>
          </w:p>
        </w:tc>
        <w:tc>
          <w:tcPr>
            <w:tcW w:w="924" w:type="dxa"/>
          </w:tcPr>
          <w:p w:rsidR="00B566AE" w:rsidRPr="000B0934" w:rsidRDefault="00B566AE" w:rsidP="00855192">
            <w:pPr>
              <w:rPr>
                <w:rFonts w:ascii="Arial" w:hAnsi="Arial" w:cs="Arial"/>
              </w:rPr>
            </w:pPr>
            <w:r w:rsidRPr="000B0934">
              <w:rPr>
                <w:rFonts w:ascii="Arial" w:hAnsi="Arial" w:cs="Arial"/>
              </w:rPr>
              <w:t>87.2</w:t>
            </w:r>
          </w:p>
        </w:tc>
      </w:tr>
    </w:tbl>
    <w:p w:rsidR="0077540D" w:rsidRPr="000B0934" w:rsidRDefault="0077540D">
      <w:pPr>
        <w:rPr>
          <w:rFonts w:ascii="Arial" w:hAnsi="Arial" w:cs="Arial"/>
        </w:rPr>
      </w:pPr>
      <w:bookmarkStart w:id="0" w:name="_GoBack"/>
      <w:bookmarkEnd w:id="0"/>
    </w:p>
    <w:sectPr w:rsidR="0077540D" w:rsidRPr="000B0934" w:rsidSect="00775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66AE"/>
    <w:rsid w:val="000510B8"/>
    <w:rsid w:val="000B0934"/>
    <w:rsid w:val="00101448"/>
    <w:rsid w:val="001119BA"/>
    <w:rsid w:val="0014638A"/>
    <w:rsid w:val="00183874"/>
    <w:rsid w:val="001D4FD7"/>
    <w:rsid w:val="002059B7"/>
    <w:rsid w:val="00205BA6"/>
    <w:rsid w:val="00231304"/>
    <w:rsid w:val="00253F01"/>
    <w:rsid w:val="003643DB"/>
    <w:rsid w:val="00421AC1"/>
    <w:rsid w:val="004828D5"/>
    <w:rsid w:val="0077540D"/>
    <w:rsid w:val="00777FD2"/>
    <w:rsid w:val="00B566AE"/>
    <w:rsid w:val="00B86682"/>
    <w:rsid w:val="00B940EC"/>
    <w:rsid w:val="00CF7C39"/>
    <w:rsid w:val="00E640E8"/>
    <w:rsid w:val="00EB3353"/>
    <w:rsid w:val="00ED3520"/>
    <w:rsid w:val="00FB6E24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AE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6AE"/>
    <w:pPr>
      <w:spacing w:after="0" w:line="240" w:lineRule="auto"/>
    </w:pPr>
    <w:rPr>
      <w:rFonts w:eastAsiaTheme="minorEastAsia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05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</dc:creator>
  <cp:lastModifiedBy>Novel Chegou</cp:lastModifiedBy>
  <cp:revision>23</cp:revision>
  <cp:lastPrinted>2013-04-16T14:41:00Z</cp:lastPrinted>
  <dcterms:created xsi:type="dcterms:W3CDTF">2012-05-18T08:01:00Z</dcterms:created>
  <dcterms:modified xsi:type="dcterms:W3CDTF">2013-04-16T21:01:00Z</dcterms:modified>
</cp:coreProperties>
</file>