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5D" w:rsidRPr="00B3309C" w:rsidRDefault="00BD7F5D" w:rsidP="00BD7F5D">
      <w:pPr>
        <w:rPr>
          <w:bCs/>
          <w:sz w:val="24"/>
          <w:szCs w:val="24"/>
        </w:rPr>
      </w:pPr>
      <w:proofErr w:type="gramStart"/>
      <w:r w:rsidRPr="00B3309C">
        <w:rPr>
          <w:bCs/>
          <w:sz w:val="24"/>
          <w:szCs w:val="24"/>
        </w:rPr>
        <w:t>Supplementary Table 1.</w:t>
      </w:r>
      <w:proofErr w:type="gramEnd"/>
      <w:r w:rsidRPr="00B3309C">
        <w:rPr>
          <w:bCs/>
          <w:sz w:val="24"/>
          <w:szCs w:val="24"/>
        </w:rPr>
        <w:t xml:space="preserve"> Association between genomic DNA </w:t>
      </w:r>
      <w:proofErr w:type="spellStart"/>
      <w:r w:rsidRPr="00B3309C">
        <w:rPr>
          <w:bCs/>
          <w:sz w:val="24"/>
          <w:szCs w:val="24"/>
        </w:rPr>
        <w:t>methylation</w:t>
      </w:r>
      <w:proofErr w:type="spellEnd"/>
      <w:r w:rsidR="00B3309C">
        <w:rPr>
          <w:bCs/>
          <w:sz w:val="24"/>
          <w:szCs w:val="24"/>
        </w:rPr>
        <w:t xml:space="preserve"> level</w:t>
      </w:r>
      <w:r w:rsidRPr="00B3309C">
        <w:rPr>
          <w:bCs/>
          <w:sz w:val="24"/>
          <w:szCs w:val="24"/>
        </w:rPr>
        <w:t xml:space="preserve"> and the risk of colorectal cancer according to </w:t>
      </w:r>
      <w:proofErr w:type="spellStart"/>
      <w:r w:rsidRPr="00B3309C">
        <w:rPr>
          <w:bCs/>
          <w:sz w:val="24"/>
          <w:szCs w:val="24"/>
        </w:rPr>
        <w:t>subsites</w:t>
      </w:r>
      <w:proofErr w:type="spellEnd"/>
      <w:r w:rsidRPr="00B3309C">
        <w:rPr>
          <w:bCs/>
          <w:sz w:val="24"/>
          <w:szCs w:val="24"/>
        </w:rPr>
        <w:t xml:space="preserve"> of large bowel</w:t>
      </w:r>
    </w:p>
    <w:tbl>
      <w:tblPr>
        <w:tblW w:w="5142" w:type="pct"/>
        <w:tblLook w:val="0000"/>
      </w:tblPr>
      <w:tblGrid>
        <w:gridCol w:w="3477"/>
        <w:gridCol w:w="1539"/>
        <w:gridCol w:w="1753"/>
        <w:gridCol w:w="1816"/>
        <w:gridCol w:w="1710"/>
        <w:gridCol w:w="1710"/>
        <w:gridCol w:w="1545"/>
      </w:tblGrid>
      <w:tr w:rsidR="00BD7F5D" w:rsidRPr="00B3309C">
        <w:trPr>
          <w:trHeight w:val="540"/>
        </w:trPr>
        <w:tc>
          <w:tcPr>
            <w:tcW w:w="128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B3309C">
              <w:rPr>
                <w:rFonts w:eastAsia="Times New Roman"/>
                <w:color w:val="000000"/>
                <w:sz w:val="22"/>
                <w:szCs w:val="22"/>
              </w:rPr>
              <w:t>Subsites</w:t>
            </w:r>
            <w:proofErr w:type="spellEnd"/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of cancer (cases/controls)</w:t>
            </w:r>
          </w:p>
        </w:tc>
        <w:tc>
          <w:tcPr>
            <w:tcW w:w="568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9A22C4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B3309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quintile</w:t>
            </w:r>
            <w:r w:rsidR="009A22C4"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(3.6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28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-4.1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07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4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9A22C4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B3309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nd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quintile</w:t>
            </w:r>
            <w:r w:rsidR="009A22C4"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(4.1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08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-4.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196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70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9A22C4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B3309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rd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quintile (4.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198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-4.27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2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9A22C4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B3309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quintile</w:t>
            </w:r>
            <w:r w:rsidR="009A22C4"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(4.27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3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-4.35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3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B3309C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quintile</w:t>
            </w:r>
          </w:p>
          <w:p w:rsidR="00BD7F5D" w:rsidRPr="00B3309C" w:rsidRDefault="00BD7F5D" w:rsidP="00BD7F5D">
            <w:pPr>
              <w:overflowPunct/>
              <w:autoSpaceDE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(4.35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4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>-4.7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88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57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P</w:t>
            </w: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for trend</w:t>
            </w:r>
          </w:p>
        </w:tc>
      </w:tr>
      <w:tr w:rsidR="00BD7F5D" w:rsidRPr="00B3309C">
        <w:trPr>
          <w:trHeight w:val="540"/>
        </w:trPr>
        <w:tc>
          <w:tcPr>
            <w:tcW w:w="1283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 Colon (249/620)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1.15 (0.72-1.85)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1.02 (0.63-1.66)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0.96 (0.59-1.56)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1.17 (0.73-1.89)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0.7</w:t>
            </w:r>
            <w:r w:rsidRPr="00B3309C">
              <w:rPr>
                <w:rFonts w:eastAsia="Malgun Gothic" w:hint="eastAsia"/>
                <w:color w:val="000000"/>
                <w:sz w:val="22"/>
                <w:szCs w:val="22"/>
                <w:lang w:eastAsia="ko-KR"/>
              </w:rPr>
              <w:t>4</w:t>
            </w:r>
          </w:p>
        </w:tc>
      </w:tr>
      <w:tr w:rsidR="00BD7F5D" w:rsidRPr="00B3309C">
        <w:trPr>
          <w:trHeight w:val="540"/>
        </w:trPr>
        <w:tc>
          <w:tcPr>
            <w:tcW w:w="1283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 Rectum (70/620)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1.52 (0.59-3.95)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1.94 (0.78-4.82)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1.37 (0.52-3.58)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2.09 (0.84-5.20)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0.16</w:t>
            </w:r>
          </w:p>
        </w:tc>
      </w:tr>
      <w:tr w:rsidR="00BD7F5D" w:rsidRPr="00B3309C">
        <w:trPr>
          <w:trHeight w:val="540"/>
        </w:trPr>
        <w:tc>
          <w:tcPr>
            <w:tcW w:w="1283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 Proximal (175/620)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1.00 (0.58-1.72)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 1.01 (0.58-1.76)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0.91 (0.52-1.59)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1.26 (0.73-2.16)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0.51</w:t>
            </w:r>
          </w:p>
        </w:tc>
      </w:tr>
      <w:tr w:rsidR="00BD7F5D" w:rsidRPr="00B3309C">
        <w:trPr>
          <w:trHeight w:val="540"/>
        </w:trPr>
        <w:tc>
          <w:tcPr>
            <w:tcW w:w="128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 xml:space="preserve">  Distal (94/620)</w:t>
            </w:r>
          </w:p>
        </w:tc>
        <w:tc>
          <w:tcPr>
            <w:tcW w:w="56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64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1.38 (0.70-2.73)</w:t>
            </w:r>
          </w:p>
        </w:tc>
        <w:tc>
          <w:tcPr>
            <w:tcW w:w="6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1.00 (0.48-2.07)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0.86 (0.40-1.82)</w:t>
            </w:r>
          </w:p>
        </w:tc>
        <w:tc>
          <w:tcPr>
            <w:tcW w:w="6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0.84 (0.44-1.77)</w:t>
            </w:r>
          </w:p>
        </w:tc>
        <w:tc>
          <w:tcPr>
            <w:tcW w:w="57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7F5D" w:rsidRPr="00B3309C" w:rsidRDefault="00BD7F5D" w:rsidP="00BD7F5D">
            <w:pPr>
              <w:overflowPunct/>
              <w:autoSpaceDE/>
              <w:snapToGrid w:val="0"/>
              <w:jc w:val="center"/>
              <w:textAlignment w:val="auto"/>
              <w:rPr>
                <w:rFonts w:eastAsia="Times New Roman"/>
                <w:color w:val="000000"/>
                <w:sz w:val="22"/>
                <w:szCs w:val="22"/>
              </w:rPr>
            </w:pPr>
            <w:r w:rsidRPr="00B3309C">
              <w:rPr>
                <w:rFonts w:eastAsia="Times New Roman"/>
                <w:color w:val="000000"/>
                <w:sz w:val="22"/>
                <w:szCs w:val="22"/>
              </w:rPr>
              <w:t>0.37</w:t>
            </w:r>
          </w:p>
        </w:tc>
      </w:tr>
    </w:tbl>
    <w:p w:rsidR="00BD7F5D" w:rsidRPr="00361451" w:rsidRDefault="00BD7F5D" w:rsidP="00855DE6">
      <w:pPr>
        <w:rPr>
          <w:sz w:val="22"/>
          <w:szCs w:val="22"/>
        </w:rPr>
      </w:pPr>
      <w:r w:rsidRPr="00B3309C">
        <w:rPr>
          <w:sz w:val="22"/>
          <w:szCs w:val="22"/>
        </w:rPr>
        <w:t xml:space="preserve">Multivariate models are adjusted for age at blood draw, date of blood draw, race, height (continuous), fasting status, pack-years of smoking (continuous), body mass index (continuous), physical activity (in quartiles), family history of colorectal cancer (yes or no), history of colonoscopy or </w:t>
      </w:r>
      <w:proofErr w:type="spellStart"/>
      <w:r w:rsidRPr="00B3309C">
        <w:rPr>
          <w:sz w:val="22"/>
          <w:szCs w:val="22"/>
        </w:rPr>
        <w:t>sigmoidoscopy</w:t>
      </w:r>
      <w:proofErr w:type="spellEnd"/>
      <w:r w:rsidRPr="00B3309C">
        <w:rPr>
          <w:sz w:val="22"/>
          <w:szCs w:val="22"/>
        </w:rPr>
        <w:t xml:space="preserve"> (yes or no), alcohol intake (continuous), intake of red and processed meat (in quartiles), vitamin D intake (continuous), calcium intake (continuous), and aspirin use (non-users vs. ever users).</w:t>
      </w:r>
    </w:p>
    <w:sectPr w:rsidR="00BD7F5D" w:rsidRPr="00361451" w:rsidSect="00BD7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800" w:right="1440" w:bottom="1800" w:left="1440" w:header="720" w:footer="720" w:gutter="0"/>
      <w:lnNumType w:countBy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1CB" w:rsidRDefault="000351CB">
      <w:r>
        <w:separator/>
      </w:r>
    </w:p>
  </w:endnote>
  <w:endnote w:type="continuationSeparator" w:id="0">
    <w:p w:rsidR="000351CB" w:rsidRDefault="00035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D" w:rsidRDefault="00BD7F5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D" w:rsidRDefault="00BD7F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D" w:rsidRDefault="00BD7F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1CB" w:rsidRDefault="000351CB">
      <w:r>
        <w:separator/>
      </w:r>
    </w:p>
  </w:footnote>
  <w:footnote w:type="continuationSeparator" w:id="0">
    <w:p w:rsidR="000351CB" w:rsidRDefault="00035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D" w:rsidRDefault="00BD7F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D" w:rsidRDefault="00BD7F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F5D" w:rsidRDefault="00BD7F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B2B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F37CF7"/>
    <w:multiLevelType w:val="hybridMultilevel"/>
    <w:tmpl w:val="E3EEC1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8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2pppv0srv9etjeaarwpxwece5a02dtrt920&quot;&gt;endnote_mei_14&lt;record-ids&gt;&lt;item&gt;784&lt;/item&gt;&lt;item&gt;785&lt;/item&gt;&lt;item&gt;786&lt;/item&gt;&lt;item&gt;1170&lt;/item&gt;&lt;item&gt;1171&lt;/item&gt;&lt;item&gt;1172&lt;/item&gt;&lt;item&gt;1175&lt;/item&gt;&lt;item&gt;1176&lt;/item&gt;&lt;item&gt;1181&lt;/item&gt;&lt;/record-ids&gt;&lt;/item&gt;&lt;/Libraries&gt;"/>
    <w:docVar w:name="EN_Doc_Font_List_Name" w:val="Times New RomanTimes"/>
    <w:docVar w:name="EN_Lib_Name_List_Name" w:val="09Total.enl09TOTAL.ENL"/>
    <w:docVar w:name="EN_Main_Body_Style_Name" w:val="Cancer Epidemiology Biomark"/>
  </w:docVars>
  <w:rsids>
    <w:rsidRoot w:val="005B1DB6"/>
    <w:rsid w:val="000351CB"/>
    <w:rsid w:val="000A7571"/>
    <w:rsid w:val="000B0F4A"/>
    <w:rsid w:val="000E1265"/>
    <w:rsid w:val="000F17B2"/>
    <w:rsid w:val="000F55C5"/>
    <w:rsid w:val="00116B0A"/>
    <w:rsid w:val="00120F49"/>
    <w:rsid w:val="001455A0"/>
    <w:rsid w:val="001C328D"/>
    <w:rsid w:val="001E7D70"/>
    <w:rsid w:val="0021396D"/>
    <w:rsid w:val="00214399"/>
    <w:rsid w:val="002624AB"/>
    <w:rsid w:val="002948F2"/>
    <w:rsid w:val="002B22F8"/>
    <w:rsid w:val="002C378A"/>
    <w:rsid w:val="003321BF"/>
    <w:rsid w:val="00361451"/>
    <w:rsid w:val="00373829"/>
    <w:rsid w:val="003B3F79"/>
    <w:rsid w:val="003C0951"/>
    <w:rsid w:val="003F1F79"/>
    <w:rsid w:val="003F2F22"/>
    <w:rsid w:val="004405FB"/>
    <w:rsid w:val="004654DF"/>
    <w:rsid w:val="00472169"/>
    <w:rsid w:val="00472C66"/>
    <w:rsid w:val="00485DD2"/>
    <w:rsid w:val="004A0648"/>
    <w:rsid w:val="004A176D"/>
    <w:rsid w:val="004B00E0"/>
    <w:rsid w:val="004E2F7A"/>
    <w:rsid w:val="0053588A"/>
    <w:rsid w:val="00547FB8"/>
    <w:rsid w:val="005512E5"/>
    <w:rsid w:val="00554A4E"/>
    <w:rsid w:val="005603B9"/>
    <w:rsid w:val="005668A6"/>
    <w:rsid w:val="0057707A"/>
    <w:rsid w:val="005875C5"/>
    <w:rsid w:val="005A0B50"/>
    <w:rsid w:val="005C0180"/>
    <w:rsid w:val="005C5952"/>
    <w:rsid w:val="005D711E"/>
    <w:rsid w:val="005F3AAD"/>
    <w:rsid w:val="005F470A"/>
    <w:rsid w:val="00601D9B"/>
    <w:rsid w:val="0060673C"/>
    <w:rsid w:val="00622163"/>
    <w:rsid w:val="00643A50"/>
    <w:rsid w:val="00644B76"/>
    <w:rsid w:val="0066700D"/>
    <w:rsid w:val="00667324"/>
    <w:rsid w:val="006C71FB"/>
    <w:rsid w:val="006E4C5B"/>
    <w:rsid w:val="006F1127"/>
    <w:rsid w:val="00705542"/>
    <w:rsid w:val="00707196"/>
    <w:rsid w:val="007147EA"/>
    <w:rsid w:val="00720EA0"/>
    <w:rsid w:val="00737EC9"/>
    <w:rsid w:val="007B74FB"/>
    <w:rsid w:val="007D46A0"/>
    <w:rsid w:val="007E4539"/>
    <w:rsid w:val="00811C66"/>
    <w:rsid w:val="0084602B"/>
    <w:rsid w:val="00855DE6"/>
    <w:rsid w:val="00862E43"/>
    <w:rsid w:val="00863D1D"/>
    <w:rsid w:val="008A03FC"/>
    <w:rsid w:val="008D30F8"/>
    <w:rsid w:val="008D3499"/>
    <w:rsid w:val="009018E5"/>
    <w:rsid w:val="00904D8E"/>
    <w:rsid w:val="00910708"/>
    <w:rsid w:val="00911CF7"/>
    <w:rsid w:val="00931805"/>
    <w:rsid w:val="00934072"/>
    <w:rsid w:val="00935486"/>
    <w:rsid w:val="00963B54"/>
    <w:rsid w:val="00974F4A"/>
    <w:rsid w:val="009836E9"/>
    <w:rsid w:val="0099348B"/>
    <w:rsid w:val="00995F94"/>
    <w:rsid w:val="009A22C4"/>
    <w:rsid w:val="009E42BE"/>
    <w:rsid w:val="009E7081"/>
    <w:rsid w:val="009F5033"/>
    <w:rsid w:val="009F5B4A"/>
    <w:rsid w:val="009F75CF"/>
    <w:rsid w:val="00A02A4E"/>
    <w:rsid w:val="00A03508"/>
    <w:rsid w:val="00A267A3"/>
    <w:rsid w:val="00A27740"/>
    <w:rsid w:val="00A27A94"/>
    <w:rsid w:val="00A56BC1"/>
    <w:rsid w:val="00A8466E"/>
    <w:rsid w:val="00A8630B"/>
    <w:rsid w:val="00A879DB"/>
    <w:rsid w:val="00A94C1F"/>
    <w:rsid w:val="00AA12BD"/>
    <w:rsid w:val="00AD5522"/>
    <w:rsid w:val="00AD7003"/>
    <w:rsid w:val="00AE349A"/>
    <w:rsid w:val="00AF4551"/>
    <w:rsid w:val="00AF7443"/>
    <w:rsid w:val="00B14819"/>
    <w:rsid w:val="00B3309C"/>
    <w:rsid w:val="00B72F0C"/>
    <w:rsid w:val="00B8231F"/>
    <w:rsid w:val="00BA5A23"/>
    <w:rsid w:val="00BB2DD6"/>
    <w:rsid w:val="00BD7F5D"/>
    <w:rsid w:val="00BE5E84"/>
    <w:rsid w:val="00C100DB"/>
    <w:rsid w:val="00C3671A"/>
    <w:rsid w:val="00C57B91"/>
    <w:rsid w:val="00C73EEE"/>
    <w:rsid w:val="00CA0169"/>
    <w:rsid w:val="00CB7DE2"/>
    <w:rsid w:val="00CE73DD"/>
    <w:rsid w:val="00CF782C"/>
    <w:rsid w:val="00D05E42"/>
    <w:rsid w:val="00D5580A"/>
    <w:rsid w:val="00D73B49"/>
    <w:rsid w:val="00D97348"/>
    <w:rsid w:val="00DD08B3"/>
    <w:rsid w:val="00DE7417"/>
    <w:rsid w:val="00E1449F"/>
    <w:rsid w:val="00E265DD"/>
    <w:rsid w:val="00E275BA"/>
    <w:rsid w:val="00E34AF5"/>
    <w:rsid w:val="00E4061C"/>
    <w:rsid w:val="00E618CA"/>
    <w:rsid w:val="00E95A83"/>
    <w:rsid w:val="00EB2370"/>
    <w:rsid w:val="00F125DD"/>
    <w:rsid w:val="00F4196F"/>
    <w:rsid w:val="00F4489A"/>
    <w:rsid w:val="00F643A9"/>
    <w:rsid w:val="00F947D0"/>
    <w:rsid w:val="00FB54EE"/>
    <w:rsid w:val="00FC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48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line="480" w:lineRule="auto"/>
      <w:ind w:firstLine="7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BodyText3">
    <w:name w:val="Body Text 3"/>
    <w:basedOn w:val="Normal"/>
    <w:pPr>
      <w:spacing w:line="480" w:lineRule="auto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/>
    </w:rPr>
  </w:style>
  <w:style w:type="paragraph" w:styleId="BodyTextIndent3">
    <w:name w:val="Body Text Indent 3"/>
    <w:basedOn w:val="Normal"/>
    <w:pPr>
      <w:spacing w:line="480" w:lineRule="auto"/>
      <w:ind w:left="720" w:hanging="720"/>
    </w:pPr>
  </w:style>
  <w:style w:type="character" w:styleId="LineNumber">
    <w:name w:val="line number"/>
    <w:basedOn w:val="DefaultParagraphFont"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Emphasis">
    <w:name w:val="Emphasis"/>
    <w:qFormat/>
    <w:rsid w:val="00687F0C"/>
    <w:rPr>
      <w:i/>
      <w:iCs/>
    </w:rPr>
  </w:style>
  <w:style w:type="character" w:customStyle="1" w:styleId="xref-sep">
    <w:name w:val="xref-sep"/>
    <w:basedOn w:val="DefaultParagraphFont"/>
    <w:rsid w:val="00687F0C"/>
  </w:style>
  <w:style w:type="paragraph" w:styleId="BalloonText">
    <w:name w:val="Balloon Text"/>
    <w:basedOn w:val="Normal"/>
    <w:semiHidden/>
    <w:rsid w:val="00B030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879F5"/>
    <w:pPr>
      <w:overflowPunct/>
      <w:autoSpaceDE/>
      <w:autoSpaceDN/>
      <w:adjustRightInd/>
      <w:textAlignment w:val="auto"/>
    </w:pPr>
    <w:rPr>
      <w:rFonts w:ascii="Courier New" w:eastAsia="Times New Roman" w:hAnsi="Courier New"/>
      <w:lang/>
    </w:rPr>
  </w:style>
  <w:style w:type="character" w:customStyle="1" w:styleId="PlainTextChar">
    <w:name w:val="Plain Text Char"/>
    <w:link w:val="PlainText"/>
    <w:rsid w:val="003879F5"/>
    <w:rPr>
      <w:rFonts w:ascii="Courier New" w:eastAsia="Times New Roman" w:hAnsi="Courier New"/>
      <w:lang w:eastAsia="en-US"/>
    </w:rPr>
  </w:style>
  <w:style w:type="character" w:customStyle="1" w:styleId="WW8Num2z0">
    <w:name w:val="WW8Num2z0"/>
    <w:rsid w:val="00E80E8F"/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434D4E"/>
    <w:rPr>
      <w:sz w:val="16"/>
      <w:szCs w:val="16"/>
    </w:rPr>
  </w:style>
  <w:style w:type="paragraph" w:styleId="CommentText">
    <w:name w:val="annotation text"/>
    <w:basedOn w:val="Normal"/>
    <w:semiHidden/>
    <w:rsid w:val="00434D4E"/>
  </w:style>
  <w:style w:type="paragraph" w:styleId="CommentSubject">
    <w:name w:val="annotation subject"/>
    <w:basedOn w:val="CommentText"/>
    <w:next w:val="CommentText"/>
    <w:semiHidden/>
    <w:rsid w:val="00434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9CFF-C317-41C7-AB74-5FA50163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Institute of Human Virology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OH HEOUNG SEON</dc:creator>
  <cp:lastModifiedBy>Owner</cp:lastModifiedBy>
  <cp:revision>2</cp:revision>
  <cp:lastPrinted>2013-01-23T17:20:00Z</cp:lastPrinted>
  <dcterms:created xsi:type="dcterms:W3CDTF">2013-02-28T15:13:00Z</dcterms:created>
  <dcterms:modified xsi:type="dcterms:W3CDTF">2013-02-28T15:13:00Z</dcterms:modified>
</cp:coreProperties>
</file>