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E2" w:rsidRPr="008A6967" w:rsidRDefault="008F67E2" w:rsidP="008F67E2">
      <w:pPr>
        <w:spacing w:line="480" w:lineRule="auto"/>
        <w:rPr>
          <w:rFonts w:cs="Arial"/>
          <w:b/>
          <w:szCs w:val="24"/>
          <w:lang w:val="en-GB"/>
        </w:rPr>
      </w:pPr>
      <w:r w:rsidRPr="008A6967">
        <w:rPr>
          <w:rFonts w:cs="Arial"/>
          <w:b/>
          <w:szCs w:val="24"/>
          <w:lang w:val="en-GB"/>
        </w:rPr>
        <w:t>Appendix</w:t>
      </w:r>
      <w:r>
        <w:rPr>
          <w:rFonts w:cs="Arial"/>
          <w:b/>
          <w:szCs w:val="24"/>
          <w:lang w:val="en-GB"/>
        </w:rPr>
        <w:t xml:space="preserve"> S1</w:t>
      </w:r>
    </w:p>
    <w:p w:rsidR="008F67E2" w:rsidRPr="008A6967" w:rsidRDefault="008F67E2" w:rsidP="008F67E2">
      <w:pPr>
        <w:spacing w:line="480" w:lineRule="auto"/>
        <w:rPr>
          <w:rFonts w:cs="Arial"/>
          <w:szCs w:val="24"/>
          <w:u w:val="single"/>
          <w:lang w:val="en-GB"/>
        </w:rPr>
      </w:pPr>
      <w:r w:rsidRPr="008A6967">
        <w:rPr>
          <w:rFonts w:cs="Arial"/>
          <w:szCs w:val="24"/>
          <w:u w:val="single"/>
          <w:lang w:val="en-GB"/>
        </w:rPr>
        <w:t>The mathematical model</w:t>
      </w:r>
    </w:p>
    <w:p w:rsidR="008F67E2" w:rsidRPr="008A6967" w:rsidRDefault="008F67E2" w:rsidP="008F67E2">
      <w:pPr>
        <w:spacing w:line="480" w:lineRule="auto"/>
        <w:rPr>
          <w:rFonts w:cs="Arial"/>
          <w:szCs w:val="24"/>
          <w:lang w:val="en-GB"/>
        </w:rPr>
      </w:pPr>
      <w:r w:rsidRPr="008A6967">
        <w:rPr>
          <w:rFonts w:cs="Arial"/>
          <w:szCs w:val="24"/>
          <w:lang w:val="en-GB"/>
        </w:rPr>
        <w:t xml:space="preserve">A detailed description of the mathematical model has been given in a previous publication </w:t>
      </w:r>
      <w:r w:rsidRPr="008A6967">
        <w:rPr>
          <w:rFonts w:cs="Arial"/>
          <w:szCs w:val="24"/>
          <w:lang w:val="en-GB"/>
        </w:rPr>
        <w:fldChar w:fldCharType="begin"/>
      </w:r>
      <w:r w:rsidRPr="008A6967">
        <w:rPr>
          <w:rFonts w:cs="Arial"/>
          <w:szCs w:val="24"/>
          <w:lang w:val="en-GB"/>
        </w:rPr>
        <w:instrText xml:space="preserve"> ADDIN EN.CITE &lt;EndNote&gt;&lt;Cite&gt;&lt;Author&gt;Estill&lt;/Author&gt;&lt;Year&gt;2012&lt;/Year&gt;&lt;RecNum&gt;1786&lt;/RecNum&gt;&lt;DisplayText&gt;[1]&lt;/DisplayText&gt;&lt;record&gt;&lt;rec-number&gt;1786&lt;/rec-number&gt;&lt;foreign-keys&gt;&lt;key app="EN" db-id="0vr0rx5r7d0fw7eavpcvvdsixvf2rze55ff5"&gt;1786&lt;/key&gt;&lt;/foreign-keys&gt;&lt;ref-type name="Journal Article"&gt;17&lt;/ref-type&gt;&lt;contributors&gt;&lt;authors&gt;&lt;author&gt;Estill, Janne&lt;/author&gt;&lt;author&gt;Aubriere, Cindy&lt;/author&gt;&lt;author&gt;Egger, Matthias&lt;/author&gt;&lt;author&gt;Johnson, Leigh&lt;/author&gt;&lt;author&gt;Wood, Robin&lt;/author&gt;&lt;author&gt;Garone, Daniela&lt;/author&gt;&lt;author&gt;Gsponer, Thomas&lt;/author&gt;&lt;author&gt;Wandeler, Gilles&lt;/author&gt;&lt;author&gt;Boulle, Andrew&lt;/author&gt;&lt;author&gt;Davies, Mary-Ann&lt;/author&gt;&lt;author&gt;Hallett, Tim&lt;/author&gt;&lt;author&gt;Keiser, Olivia&lt;/author&gt;&lt;/authors&gt;&lt;/contributors&gt;&lt;titles&gt;&lt;title&gt;Viral load monitoring of antiretroviral therapy, cohort viral load and HIV transmission in Southern Africa: A mathematical modelling analysis&lt;/title&gt;&lt;secondary-title&gt;AIDS&lt;/secondary-title&gt;&lt;/titles&gt;&lt;periodical&gt;&lt;full-title&gt;AIDS&lt;/full-title&gt;&lt;/periodical&gt;&lt;pages&gt;1403-1413&lt;/pages&gt;&lt;volume&gt;26&lt;/volume&gt;&lt;number&gt;11&lt;/number&gt;&lt;edition&gt;2012/03/20&lt;/edition&gt;&lt;section&gt;1403&lt;/section&gt;&lt;keywords&gt;&lt;keyword&gt;HIV transmission&lt;/keyword&gt;&lt;keyword&gt;mathematical model&lt;/keyword&gt;&lt;keyword&gt;second-line therapy&lt;/keyword&gt;&lt;keyword&gt;Southern Africa&lt;/keyword&gt;&lt;keyword&gt;test and treat&lt;/keyword&gt;&lt;keyword&gt;therapy failure&lt;/keyword&gt;&lt;keyword&gt;viral load monitoring&lt;/keyword&gt;&lt;keyword&gt;00002030-900000000-98956&lt;/keyword&gt;&lt;/keywords&gt;&lt;dates&gt;&lt;year&gt;2012&lt;/year&gt;&lt;pub-dates&gt;&lt;date&gt;2012/07/17&lt;/date&gt;&lt;/pub-dates&gt;&lt;/dates&gt;&lt;isbn&gt;0269-9370&lt;/isbn&gt;&lt;urls&gt;&lt;related-urls&gt;&lt;url&gt;http://journals.lww.com/aidsonline/Fulltext/publishahead/Viral_load_monitoring_of_antiretroviral_therapy,.98956.aspx&lt;/url&gt;&lt;/related-urls&gt;&lt;/urls&gt;&lt;electronic-resource-num&gt;10.1097/QAD.0b013e3283536988&lt;/electronic-resource-num&gt;&lt;/record&gt;&lt;/Cite&gt;&lt;/EndNote&gt;</w:instrText>
      </w:r>
      <w:r w:rsidRPr="008A6967">
        <w:rPr>
          <w:rFonts w:cs="Arial"/>
          <w:szCs w:val="24"/>
          <w:lang w:val="en-GB"/>
        </w:rPr>
        <w:fldChar w:fldCharType="separate"/>
      </w:r>
      <w:r w:rsidRPr="008A6967">
        <w:rPr>
          <w:rFonts w:cs="Arial"/>
          <w:noProof/>
          <w:szCs w:val="24"/>
          <w:lang w:val="en-GB"/>
        </w:rPr>
        <w:t>[</w:t>
      </w:r>
      <w:hyperlink w:anchor="_ENREF_1" w:tooltip="Estill, 2012 #1786" w:history="1">
        <w:r w:rsidRPr="008A6967">
          <w:rPr>
            <w:rFonts w:cs="Arial"/>
            <w:noProof/>
            <w:szCs w:val="24"/>
            <w:lang w:val="en-GB"/>
          </w:rPr>
          <w:t>1</w:t>
        </w:r>
      </w:hyperlink>
      <w:r w:rsidRPr="008A6967">
        <w:rPr>
          <w:rFonts w:cs="Arial"/>
          <w:noProof/>
          <w:szCs w:val="24"/>
          <w:lang w:val="en-GB"/>
        </w:rPr>
        <w:t>]</w:t>
      </w:r>
      <w:r w:rsidRPr="008A6967">
        <w:rPr>
          <w:rFonts w:cs="Arial"/>
          <w:szCs w:val="24"/>
          <w:lang w:val="en-GB"/>
        </w:rPr>
        <w:fldChar w:fldCharType="end"/>
      </w:r>
      <w:r w:rsidRPr="008A6967">
        <w:rPr>
          <w:rFonts w:cs="Arial"/>
          <w:szCs w:val="24"/>
          <w:lang w:val="en-GB"/>
        </w:rPr>
        <w:t>. In brief, the model is a multistate disease progression simulation model, which defines for each patient a series of events that determine the patient’s progression on ART. Hazard functions that define the timing of each event can be of arbitrary form and take into account previous events. Therefore, the model is non-</w:t>
      </w:r>
      <w:proofErr w:type="spellStart"/>
      <w:r w:rsidRPr="008A6967">
        <w:rPr>
          <w:rFonts w:cs="Arial"/>
          <w:szCs w:val="24"/>
          <w:lang w:val="en-GB"/>
        </w:rPr>
        <w:t>Markovian</w:t>
      </w:r>
      <w:proofErr w:type="spellEnd"/>
      <w:r w:rsidRPr="008A6967">
        <w:rPr>
          <w:rFonts w:cs="Arial"/>
          <w:szCs w:val="24"/>
          <w:lang w:val="en-GB"/>
        </w:rPr>
        <w:t xml:space="preserve">. The simulated events include first-line </w:t>
      </w:r>
      <w:proofErr w:type="spellStart"/>
      <w:r w:rsidRPr="008A6967">
        <w:rPr>
          <w:rFonts w:cs="Arial"/>
          <w:szCs w:val="24"/>
          <w:lang w:val="en-GB"/>
        </w:rPr>
        <w:t>virologic</w:t>
      </w:r>
      <w:proofErr w:type="spellEnd"/>
      <w:r w:rsidRPr="008A6967">
        <w:rPr>
          <w:rFonts w:cs="Arial"/>
          <w:szCs w:val="24"/>
          <w:lang w:val="en-GB"/>
        </w:rPr>
        <w:t xml:space="preserve"> failure, first-line immunologic failure, switch to second-line ART, second-line </w:t>
      </w:r>
      <w:proofErr w:type="spellStart"/>
      <w:r w:rsidRPr="008A6967">
        <w:rPr>
          <w:rFonts w:cs="Arial"/>
          <w:szCs w:val="24"/>
          <w:lang w:val="en-GB"/>
        </w:rPr>
        <w:t>virologic</w:t>
      </w:r>
      <w:proofErr w:type="spellEnd"/>
      <w:r w:rsidRPr="008A6967">
        <w:rPr>
          <w:rFonts w:cs="Arial"/>
          <w:szCs w:val="24"/>
          <w:lang w:val="en-GB"/>
        </w:rPr>
        <w:t xml:space="preserve"> failure, second-line immunologic failure, death and loss to follow-up (LTFU). A schematic representation of the model is shown in </w:t>
      </w:r>
      <w:r w:rsidRPr="003B121E">
        <w:rPr>
          <w:rFonts w:cs="Arial"/>
          <w:szCs w:val="24"/>
          <w:u w:val="single"/>
          <w:lang w:val="en-GB"/>
        </w:rPr>
        <w:t>supplementary Figure S1</w:t>
      </w:r>
      <w:r w:rsidRPr="008A6967">
        <w:rPr>
          <w:rFonts w:cs="Arial"/>
          <w:szCs w:val="24"/>
          <w:lang w:val="en-GB"/>
        </w:rPr>
        <w:t>.</w:t>
      </w:r>
    </w:p>
    <w:p w:rsidR="008F67E2" w:rsidRPr="008A6967" w:rsidRDefault="008F67E2" w:rsidP="008F67E2">
      <w:pPr>
        <w:spacing w:line="480" w:lineRule="auto"/>
        <w:rPr>
          <w:rFonts w:cs="Arial"/>
          <w:szCs w:val="24"/>
          <w:lang w:val="en-GB"/>
        </w:rPr>
      </w:pPr>
      <w:r w:rsidRPr="008A6967">
        <w:rPr>
          <w:rFonts w:cs="Arial"/>
          <w:szCs w:val="24"/>
          <w:lang w:val="en-GB"/>
        </w:rPr>
        <w:t xml:space="preserve">Immunologic failure can result from either </w:t>
      </w:r>
      <w:proofErr w:type="spellStart"/>
      <w:r w:rsidRPr="008A6967">
        <w:rPr>
          <w:rFonts w:cs="Arial"/>
          <w:szCs w:val="24"/>
          <w:lang w:val="en-GB"/>
        </w:rPr>
        <w:t>virologic</w:t>
      </w:r>
      <w:proofErr w:type="spellEnd"/>
      <w:r w:rsidRPr="008A6967">
        <w:rPr>
          <w:rFonts w:cs="Arial"/>
          <w:szCs w:val="24"/>
          <w:lang w:val="en-GB"/>
        </w:rPr>
        <w:t xml:space="preserve"> failure or other causes: these two events are competing and simulated independently of each other. If the immunologic failure is caused by </w:t>
      </w:r>
      <w:proofErr w:type="spellStart"/>
      <w:r w:rsidRPr="008A6967">
        <w:rPr>
          <w:rFonts w:cs="Arial"/>
          <w:szCs w:val="24"/>
          <w:lang w:val="en-GB"/>
        </w:rPr>
        <w:t>virologic</w:t>
      </w:r>
      <w:proofErr w:type="spellEnd"/>
      <w:r w:rsidRPr="008A6967">
        <w:rPr>
          <w:rFonts w:cs="Arial"/>
          <w:szCs w:val="24"/>
          <w:lang w:val="en-GB"/>
        </w:rPr>
        <w:t xml:space="preserve"> failure, the patient returns to successful ART after switching, but if it is due to other causes, the immunologic failure remains effective and increases mortality also after switching. The times from 3 months after start of ART or switching to </w:t>
      </w:r>
      <w:proofErr w:type="spellStart"/>
      <w:r w:rsidRPr="008A6967">
        <w:rPr>
          <w:rFonts w:cs="Arial"/>
          <w:szCs w:val="24"/>
          <w:lang w:val="en-GB"/>
        </w:rPr>
        <w:t>virologic</w:t>
      </w:r>
      <w:proofErr w:type="spellEnd"/>
      <w:r w:rsidRPr="008A6967">
        <w:rPr>
          <w:rFonts w:cs="Arial"/>
          <w:szCs w:val="24"/>
          <w:lang w:val="en-GB"/>
        </w:rPr>
        <w:t xml:space="preserve"> failure and non-viral load related immunologic failure were assumed to be </w:t>
      </w:r>
      <w:proofErr w:type="spellStart"/>
      <w:r w:rsidRPr="008A6967">
        <w:rPr>
          <w:rFonts w:cs="Arial"/>
          <w:szCs w:val="24"/>
          <w:lang w:val="en-GB"/>
        </w:rPr>
        <w:t>Weibull</w:t>
      </w:r>
      <w:proofErr w:type="spellEnd"/>
      <w:r w:rsidRPr="008A6967">
        <w:rPr>
          <w:rFonts w:cs="Arial"/>
          <w:szCs w:val="24"/>
          <w:lang w:val="en-GB"/>
        </w:rPr>
        <w:t xml:space="preserve"> distributed. For the progression from </w:t>
      </w:r>
      <w:proofErr w:type="spellStart"/>
      <w:r w:rsidRPr="008A6967">
        <w:rPr>
          <w:rFonts w:cs="Arial"/>
          <w:szCs w:val="24"/>
          <w:lang w:val="en-GB"/>
        </w:rPr>
        <w:t>virologic</w:t>
      </w:r>
      <w:proofErr w:type="spellEnd"/>
      <w:r w:rsidRPr="008A6967">
        <w:rPr>
          <w:rFonts w:cs="Arial"/>
          <w:szCs w:val="24"/>
          <w:lang w:val="en-GB"/>
        </w:rPr>
        <w:t xml:space="preserve"> to viral load-related immunologic failure, we assumed a constant rate. In addition, the time from switching to second-line </w:t>
      </w:r>
      <w:proofErr w:type="spellStart"/>
      <w:r w:rsidRPr="008A6967">
        <w:rPr>
          <w:rFonts w:cs="Arial"/>
          <w:szCs w:val="24"/>
          <w:lang w:val="en-GB"/>
        </w:rPr>
        <w:t>virologic</w:t>
      </w:r>
      <w:proofErr w:type="spellEnd"/>
      <w:r w:rsidRPr="008A6967">
        <w:rPr>
          <w:rFonts w:cs="Arial"/>
          <w:szCs w:val="24"/>
          <w:lang w:val="en-GB"/>
        </w:rPr>
        <w:t xml:space="preserve"> failure was reduced by a resistance penalty factor, which was assumed to be proportional to the time spent on a failing first-line therapy.</w:t>
      </w:r>
    </w:p>
    <w:p w:rsidR="008F67E2" w:rsidRPr="008A6967" w:rsidRDefault="008F67E2" w:rsidP="008F67E2">
      <w:pPr>
        <w:spacing w:line="480" w:lineRule="auto"/>
        <w:rPr>
          <w:rFonts w:cs="Arial"/>
          <w:szCs w:val="24"/>
          <w:lang w:val="en-GB"/>
        </w:rPr>
      </w:pPr>
      <w:r w:rsidRPr="008A6967">
        <w:rPr>
          <w:rFonts w:cs="Arial"/>
          <w:szCs w:val="24"/>
          <w:lang w:val="en-GB"/>
        </w:rPr>
        <w:t xml:space="preserve">At each stage, the patient was at risk of death and LTFU. Mortality was estimated based on the observed deaths and separated into HIV-related mortality and </w:t>
      </w:r>
      <w:r w:rsidRPr="008A6967">
        <w:rPr>
          <w:rFonts w:cs="Arial"/>
          <w:szCs w:val="24"/>
          <w:lang w:val="en-GB"/>
        </w:rPr>
        <w:lastRenderedPageBreak/>
        <w:t>background mortality. LTFU includes unascertained deaths,</w:t>
      </w:r>
      <w:r>
        <w:rPr>
          <w:rFonts w:cs="Arial"/>
          <w:szCs w:val="24"/>
          <w:lang w:val="en-GB"/>
        </w:rPr>
        <w:t xml:space="preserve"> transfers-out and stopping ART. Both</w:t>
      </w:r>
      <w:r w:rsidRPr="008A6967">
        <w:rPr>
          <w:rFonts w:cs="Arial"/>
          <w:szCs w:val="24"/>
          <w:lang w:val="en-GB"/>
        </w:rPr>
        <w:t xml:space="preserve"> HIV-related mortality and loss to follow-up were fitted with a double </w:t>
      </w:r>
      <w:proofErr w:type="spellStart"/>
      <w:r w:rsidRPr="008A6967">
        <w:rPr>
          <w:rFonts w:cs="Arial"/>
          <w:szCs w:val="24"/>
          <w:lang w:val="en-GB"/>
        </w:rPr>
        <w:t>Weibull</w:t>
      </w:r>
      <w:proofErr w:type="spellEnd"/>
      <w:r w:rsidRPr="008A6967">
        <w:rPr>
          <w:rFonts w:cs="Arial"/>
          <w:szCs w:val="24"/>
          <w:lang w:val="en-GB"/>
        </w:rPr>
        <w:t xml:space="preserve"> distribution (weighted sum of two </w:t>
      </w:r>
      <w:proofErr w:type="spellStart"/>
      <w:r w:rsidRPr="008A6967">
        <w:rPr>
          <w:rFonts w:cs="Arial"/>
          <w:szCs w:val="24"/>
          <w:lang w:val="en-GB"/>
        </w:rPr>
        <w:t>Weibull</w:t>
      </w:r>
      <w:proofErr w:type="spellEnd"/>
      <w:r w:rsidRPr="008A6967">
        <w:rPr>
          <w:rFonts w:cs="Arial"/>
          <w:szCs w:val="24"/>
          <w:lang w:val="en-GB"/>
        </w:rPr>
        <w:t xml:space="preserve"> distributions). We assumed that </w:t>
      </w:r>
      <w:proofErr w:type="spellStart"/>
      <w:r w:rsidRPr="008A6967">
        <w:rPr>
          <w:rFonts w:cs="Arial"/>
          <w:szCs w:val="24"/>
          <w:lang w:val="en-GB"/>
        </w:rPr>
        <w:t>virologic</w:t>
      </w:r>
      <w:proofErr w:type="spellEnd"/>
      <w:r w:rsidRPr="008A6967">
        <w:rPr>
          <w:rFonts w:cs="Arial"/>
          <w:szCs w:val="24"/>
          <w:lang w:val="en-GB"/>
        </w:rPr>
        <w:t xml:space="preserve"> and immunologic failures would increase the HIV-related mortality independently of each other. The hazard ratio related to </w:t>
      </w:r>
      <w:proofErr w:type="spellStart"/>
      <w:r w:rsidRPr="008A6967">
        <w:rPr>
          <w:rFonts w:cs="Arial"/>
          <w:szCs w:val="24"/>
          <w:lang w:val="en-GB"/>
        </w:rPr>
        <w:t>virologic</w:t>
      </w:r>
      <w:proofErr w:type="spellEnd"/>
      <w:r w:rsidRPr="008A6967">
        <w:rPr>
          <w:rFonts w:cs="Arial"/>
          <w:szCs w:val="24"/>
          <w:lang w:val="en-GB"/>
        </w:rPr>
        <w:t xml:space="preserve"> failure was assumed to increase over time, whereas the hazard ratio related to immunologic failure remained constant after failure.</w:t>
      </w:r>
    </w:p>
    <w:p w:rsidR="008F67E2" w:rsidRPr="008A6967" w:rsidRDefault="008F67E2" w:rsidP="008F67E2">
      <w:pPr>
        <w:spacing w:line="480" w:lineRule="auto"/>
        <w:rPr>
          <w:rFonts w:cs="Arial"/>
          <w:szCs w:val="24"/>
          <w:lang w:val="en-GB"/>
        </w:rPr>
      </w:pPr>
      <w:r w:rsidRPr="008A6967">
        <w:rPr>
          <w:rFonts w:cs="Arial"/>
          <w:szCs w:val="24"/>
          <w:lang w:val="en-GB"/>
        </w:rPr>
        <w:t xml:space="preserve">By including LTFU as a separate outcome we assumed that the mortality which was estimated from the model represents the observed mortality. In reality, mortality among patients lost to follow-up is high and therefore the observed mortality rates probably underestimate true mortality </w:t>
      </w:r>
      <w:r w:rsidRPr="008A6967">
        <w:rPr>
          <w:rFonts w:cs="Arial"/>
          <w:szCs w:val="24"/>
          <w:lang w:val="en-GB"/>
        </w:rPr>
        <w:fldChar w:fldCharType="begin"/>
      </w:r>
      <w:r w:rsidRPr="008A6967">
        <w:rPr>
          <w:rFonts w:cs="Arial"/>
          <w:szCs w:val="24"/>
          <w:lang w:val="en-GB"/>
        </w:rPr>
        <w:instrText xml:space="preserve"> ADDIN EN.CITE &lt;EndNote&gt;&lt;Cite&gt;&lt;Author&gt;Brinkhof&lt;/Author&gt;&lt;Year&gt;2009&lt;/Year&gt;&lt;RecNum&gt;1065&lt;/RecNum&gt;&lt;DisplayText&gt;[2]&lt;/DisplayText&gt;&lt;record&gt;&lt;rec-number&gt;1065&lt;/rec-number&gt;&lt;foreign-keys&gt;&lt;key app="EN" db-id="0vr0rx5r7d0fw7eavpcvvdsixvf2rze55ff5"&gt;1065&lt;/key&gt;&lt;/foreign-keys&gt;&lt;ref-type name="Journal Article"&gt;17&lt;/ref-type&gt;&lt;contributors&gt;&lt;authors&gt;&lt;author&gt;Brinkhof, M. W.&lt;/author&gt;&lt;author&gt;Pujades-Rodriguez, M.&lt;/author&gt;&lt;author&gt;Egger, M.&lt;/author&gt;&lt;/authors&gt;&lt;/contributors&gt;&lt;auth-address&gt;Division of International and Environmental Health, Institute of Social and Preventive Medicine (ISPM), University of Bern, Bern, Switzerland. brinkhof@ispm.unibe.ch&lt;/auth-address&gt;&lt;titles&gt;&lt;title&gt;Mortality of patients lost to follow-up in antiretroviral treatment programmes in resource-limited settings: systematic review and meta-analysis&lt;/title&gt;&lt;secondary-title&gt;PLoS One&lt;/secondary-title&gt;&lt;/titles&gt;&lt;periodical&gt;&lt;full-title&gt;PLoS One&lt;/full-title&gt;&lt;/periodical&gt;&lt;pages&gt;e5790&lt;/pages&gt;&lt;volume&gt;4&lt;/volume&gt;&lt;number&gt;6&lt;/number&gt;&lt;edition&gt;2009/06/06&lt;/edition&gt;&lt;dates&gt;&lt;year&gt;2009&lt;/year&gt;&lt;/dates&gt;&lt;isbn&gt;1932-6203 (Electronic)&lt;/isbn&gt;&lt;accession-num&gt;19495419&lt;/accession-num&gt;&lt;urls&gt;&lt;related-urls&gt;&lt;url&gt;http://www.ncbi.nlm.nih.gov/entrez/query.fcgi?cmd=Retrieve&amp;amp;db=PubMed&amp;amp;dopt=Citation&amp;amp;list_uids=19495419&lt;/url&gt;&lt;/related-urls&gt;&lt;/urls&gt;&lt;electronic-resource-num&gt;10.1371/journal.pone.0005790&lt;/electronic-resource-num&gt;&lt;language&gt;eng&lt;/language&gt;&lt;/record&gt;&lt;/Cite&gt;&lt;/EndNote&gt;</w:instrText>
      </w:r>
      <w:r w:rsidRPr="008A6967">
        <w:rPr>
          <w:rFonts w:cs="Arial"/>
          <w:szCs w:val="24"/>
          <w:lang w:val="en-GB"/>
        </w:rPr>
        <w:fldChar w:fldCharType="separate"/>
      </w:r>
      <w:r w:rsidRPr="008A6967">
        <w:rPr>
          <w:rFonts w:cs="Arial"/>
          <w:noProof/>
          <w:szCs w:val="24"/>
          <w:lang w:val="en-GB"/>
        </w:rPr>
        <w:t>[</w:t>
      </w:r>
      <w:hyperlink w:anchor="_ENREF_2" w:tooltip="Brinkhof, 2009 #1065" w:history="1">
        <w:r w:rsidRPr="008A6967">
          <w:rPr>
            <w:rFonts w:cs="Arial"/>
            <w:noProof/>
            <w:szCs w:val="24"/>
            <w:lang w:val="en-GB"/>
          </w:rPr>
          <w:t>2</w:t>
        </w:r>
      </w:hyperlink>
      <w:r w:rsidRPr="008A6967">
        <w:rPr>
          <w:rFonts w:cs="Arial"/>
          <w:noProof/>
          <w:szCs w:val="24"/>
          <w:lang w:val="en-GB"/>
        </w:rPr>
        <w:t>]</w:t>
      </w:r>
      <w:r w:rsidRPr="008A6967">
        <w:rPr>
          <w:rFonts w:cs="Arial"/>
          <w:szCs w:val="24"/>
          <w:lang w:val="en-GB"/>
        </w:rPr>
        <w:fldChar w:fldCharType="end"/>
      </w:r>
      <w:r w:rsidRPr="008A6967">
        <w:rPr>
          <w:rFonts w:cs="Arial"/>
          <w:szCs w:val="24"/>
          <w:lang w:val="en-GB"/>
        </w:rPr>
        <w:t xml:space="preserve">. To take this into account, we show also corrected mortality estimates including the estimated mortality among patients lost to follow-up. To calculate the corrected mortality we used a relation between the proportion of patients lost to follow-up </w:t>
      </w:r>
      <w:r w:rsidRPr="003B121E">
        <w:rPr>
          <w:rFonts w:cs="Arial"/>
          <w:i/>
          <w:szCs w:val="24"/>
          <w:lang w:val="en-GB"/>
        </w:rPr>
        <w:t xml:space="preserve">r </w:t>
      </w:r>
      <w:r w:rsidRPr="008A6967">
        <w:rPr>
          <w:rFonts w:cs="Arial"/>
          <w:szCs w:val="24"/>
          <w:lang w:val="en-GB"/>
        </w:rPr>
        <w:t xml:space="preserve">and mortality among patients lost to follow-up </w:t>
      </w:r>
      <w:r w:rsidRPr="003B121E">
        <w:rPr>
          <w:rFonts w:cs="Arial"/>
          <w:i/>
          <w:szCs w:val="24"/>
          <w:lang w:val="en-GB"/>
        </w:rPr>
        <w:t>M</w:t>
      </w:r>
      <w:r w:rsidRPr="003B121E">
        <w:rPr>
          <w:rFonts w:cs="Arial"/>
          <w:i/>
          <w:szCs w:val="24"/>
          <w:vertAlign w:val="subscript"/>
          <w:lang w:val="en-GB"/>
        </w:rPr>
        <w:t>L</w:t>
      </w:r>
      <w:r w:rsidRPr="008A6967">
        <w:rPr>
          <w:rFonts w:cs="Arial"/>
          <w:szCs w:val="24"/>
          <w:lang w:val="en-GB"/>
        </w:rPr>
        <w:t xml:space="preserve"> from a systematic review where patients lost to follow-up were traced </w:t>
      </w:r>
      <w:r w:rsidRPr="008A6967">
        <w:rPr>
          <w:rFonts w:cs="Arial"/>
          <w:szCs w:val="24"/>
          <w:lang w:val="en-GB"/>
        </w:rPr>
        <w:fldChar w:fldCharType="begin">
          <w:fldData xml:space="preserve">PEVuZE5vdGU+PENpdGU+PEF1dGhvcj5Ccmlua2hvZjwvQXV0aG9yPjxZZWFyPjIwMDk8L1llYXI+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</w:fldData>
        </w:fldChar>
      </w:r>
      <w:r w:rsidRPr="008A6967">
        <w:rPr>
          <w:rFonts w:cs="Arial"/>
          <w:szCs w:val="24"/>
          <w:lang w:val="en-GB"/>
        </w:rPr>
        <w:instrText xml:space="preserve"> ADDIN EN.CITE </w:instrText>
      </w:r>
      <w:r w:rsidRPr="008A6967">
        <w:rPr>
          <w:rFonts w:cs="Arial"/>
          <w:szCs w:val="24"/>
          <w:lang w:val="en-GB"/>
        </w:rPr>
        <w:fldChar w:fldCharType="begin">
          <w:fldData xml:space="preserve">PEVuZE5vdGU+PENpdGU+PEF1dGhvcj5Ccmlua2hvZjwvQXV0aG9yPjxZZWFyPjIwMDk8L1llYXI+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</w:fldData>
        </w:fldChar>
      </w:r>
      <w:r w:rsidRPr="008A6967">
        <w:rPr>
          <w:rFonts w:cs="Arial"/>
          <w:szCs w:val="24"/>
          <w:lang w:val="en-GB"/>
        </w:rPr>
        <w:instrText xml:space="preserve"> ADDIN EN.CITE.DATA </w:instrText>
      </w:r>
      <w:r w:rsidRPr="008A6967">
        <w:rPr>
          <w:rFonts w:cs="Arial"/>
          <w:szCs w:val="24"/>
          <w:lang w:val="en-GB"/>
        </w:rPr>
      </w:r>
      <w:r w:rsidRPr="008A6967">
        <w:rPr>
          <w:rFonts w:cs="Arial"/>
          <w:szCs w:val="24"/>
          <w:lang w:val="en-GB"/>
        </w:rPr>
        <w:fldChar w:fldCharType="end"/>
      </w:r>
      <w:r w:rsidRPr="008A6967">
        <w:rPr>
          <w:rFonts w:cs="Arial"/>
          <w:szCs w:val="24"/>
          <w:lang w:val="en-GB"/>
        </w:rPr>
      </w:r>
      <w:r w:rsidRPr="008A6967">
        <w:rPr>
          <w:rFonts w:cs="Arial"/>
          <w:szCs w:val="24"/>
          <w:lang w:val="en-GB"/>
        </w:rPr>
        <w:fldChar w:fldCharType="separate"/>
      </w:r>
      <w:r w:rsidRPr="008A6967">
        <w:rPr>
          <w:rFonts w:cs="Arial"/>
          <w:noProof/>
          <w:szCs w:val="24"/>
          <w:lang w:val="en-GB"/>
        </w:rPr>
        <w:t>[</w:t>
      </w:r>
      <w:hyperlink w:anchor="_ENREF_2" w:tooltip="Brinkhof, 2009 #1065" w:history="1">
        <w:r w:rsidRPr="008A6967">
          <w:rPr>
            <w:rFonts w:cs="Arial"/>
            <w:noProof/>
            <w:szCs w:val="24"/>
            <w:lang w:val="en-GB"/>
          </w:rPr>
          <w:t>2</w:t>
        </w:r>
      </w:hyperlink>
      <w:r w:rsidRPr="008A6967">
        <w:rPr>
          <w:rFonts w:cs="Arial"/>
          <w:noProof/>
          <w:szCs w:val="24"/>
          <w:lang w:val="en-GB"/>
        </w:rPr>
        <w:t xml:space="preserve">, </w:t>
      </w:r>
      <w:hyperlink w:anchor="_ENREF_3" w:tooltip="Egger, 2011 #1421" w:history="1">
        <w:r w:rsidRPr="008A6967">
          <w:rPr>
            <w:rFonts w:cs="Arial"/>
            <w:noProof/>
            <w:szCs w:val="24"/>
            <w:lang w:val="en-GB"/>
          </w:rPr>
          <w:t>3</w:t>
        </w:r>
      </w:hyperlink>
      <w:r w:rsidRPr="008A6967">
        <w:rPr>
          <w:rFonts w:cs="Arial"/>
          <w:noProof/>
          <w:szCs w:val="24"/>
          <w:lang w:val="en-GB"/>
        </w:rPr>
        <w:t>]</w:t>
      </w:r>
      <w:r w:rsidRPr="008A6967">
        <w:rPr>
          <w:rFonts w:cs="Arial"/>
          <w:szCs w:val="24"/>
          <w:lang w:val="en-GB"/>
        </w:rPr>
        <w:fldChar w:fldCharType="end"/>
      </w:r>
      <w:r w:rsidRPr="008A6967">
        <w:rPr>
          <w:rFonts w:cs="Arial"/>
          <w:szCs w:val="24"/>
          <w:lang w:val="en-GB"/>
        </w:rPr>
        <w:t>:</w:t>
      </w:r>
    </w:p>
    <w:p w:rsidR="008F67E2" w:rsidRPr="008A6967" w:rsidRDefault="008F67E2" w:rsidP="008F67E2">
      <w:pPr>
        <w:spacing w:line="480" w:lineRule="auto"/>
        <w:rPr>
          <w:rFonts w:cs="Arial"/>
          <w:szCs w:val="24"/>
          <w:lang w:val="en-GB"/>
        </w:rPr>
      </w:pPr>
      <m:oMathPara>
        <m:oMath>
          <m:sSub>
            <m:sSubPr>
              <m:ctrlPr>
                <w:rPr>
                  <w:rFonts w:ascii="Cambria Math" w:hAnsi="Cambria Math" w:cs="Arial"/>
                  <w:i/>
                  <w:szCs w:val="24"/>
                  <w:lang w:val="en-GB"/>
                </w:rPr>
              </m:ctrlPr>
            </m:sSubPr>
            <m:e>
              <m:r>
                <w:rPr>
                  <w:rFonts w:ascii="Cambria Math" w:hAnsi="Cambria Math" w:cs="Arial"/>
                  <w:szCs w:val="24"/>
                  <w:lang w:val="en-GB"/>
                </w:rPr>
                <m:t>M</m:t>
              </m:r>
            </m:e>
            <m:sub>
              <m:r>
                <w:rPr>
                  <w:rFonts w:ascii="Cambria Math" w:hAnsi="Cambria Math" w:cs="Arial"/>
                  <w:szCs w:val="24"/>
                  <w:lang w:val="en-GB"/>
                </w:rPr>
                <m:t>L</m:t>
              </m:r>
            </m:sub>
          </m:sSub>
          <m:d>
            <m:dPr>
              <m:ctrlPr>
                <w:rPr>
                  <w:rFonts w:ascii="Cambria Math" w:hAnsi="Cambria Math" w:cs="Arial"/>
                  <w:i/>
                  <w:szCs w:val="24"/>
                  <w:lang w:val="en-GB"/>
                </w:rPr>
              </m:ctrlPr>
            </m:dPr>
            <m:e>
              <m:r>
                <w:rPr>
                  <w:rFonts w:ascii="Cambria Math" w:hAnsi="Cambria Math" w:cs="Arial"/>
                  <w:szCs w:val="24"/>
                  <w:lang w:val="en-GB"/>
                </w:rPr>
                <m:t>t</m:t>
              </m:r>
            </m:e>
          </m:d>
          <m:r>
            <w:rPr>
              <w:rFonts w:ascii="Cambria Math" w:hAnsi="Cambria Math" w:cs="Arial"/>
              <w:szCs w:val="24"/>
              <w:lang w:val="en-GB"/>
            </w:rPr>
            <m:t>=</m:t>
          </m:r>
          <m:f>
            <m:fPr>
              <m:ctrlPr>
                <w:rPr>
                  <w:rFonts w:ascii="Cambria Math" w:hAnsi="Cambria Math" w:cs="Arial"/>
                  <w:i/>
                  <w:szCs w:val="24"/>
                  <w:lang w:val="en-GB"/>
                </w:rPr>
              </m:ctrlPr>
            </m:fPr>
            <m:num>
              <m:sSup>
                <m:sSupPr>
                  <m:ctrlPr>
                    <w:rPr>
                      <w:rFonts w:ascii="Cambria Math" w:hAnsi="Cambria Math" w:cs="Arial"/>
                      <w:i/>
                      <w:szCs w:val="24"/>
                      <w:lang w:val="en-GB"/>
                    </w:rPr>
                  </m:ctrlPr>
                </m:sSupPr>
                <m:e>
                  <m:r>
                    <w:rPr>
                      <w:rFonts w:ascii="Cambria Math" w:hAnsi="Cambria Math" w:cs="Arial"/>
                      <w:szCs w:val="24"/>
                      <w:lang w:val="en-GB"/>
                    </w:rPr>
                    <m:t>e</m:t>
                  </m:r>
                </m:e>
                <m:sup>
                  <m:r>
                    <w:rPr>
                      <w:rFonts w:ascii="Cambria Math" w:hAnsi="Cambria Math" w:cs="Arial"/>
                      <w:szCs w:val="24"/>
                      <w:lang w:val="en-GB"/>
                    </w:rPr>
                    <m:t>a+br</m:t>
                  </m:r>
                  <m:d>
                    <m:dPr>
                      <m:ctrlPr>
                        <w:rPr>
                          <w:rFonts w:ascii="Cambria Math" w:hAnsi="Cambria Math" w:cs="Arial"/>
                          <w:i/>
                          <w:szCs w:val="24"/>
                          <w:lang w:val="en-GB"/>
                        </w:rPr>
                      </m:ctrlPr>
                    </m:dPr>
                    <m:e>
                      <m:r>
                        <w:rPr>
                          <w:rFonts w:ascii="Cambria Math" w:hAnsi="Cambria Math" w:cs="Arial"/>
                          <w:szCs w:val="24"/>
                          <w:lang w:val="en-GB"/>
                        </w:rPr>
                        <m:t>t</m:t>
                      </m:r>
                    </m:e>
                  </m:d>
                </m:sup>
              </m:sSup>
            </m:num>
            <m:den>
              <m:r>
                <w:rPr>
                  <w:rFonts w:ascii="Cambria Math" w:hAnsi="Cambria Math" w:cs="Arial"/>
                  <w:szCs w:val="24"/>
                  <w:lang w:val="en-GB"/>
                </w:rPr>
                <m:t>1+</m:t>
              </m:r>
              <m:sSup>
                <m:sSupPr>
                  <m:ctrlPr>
                    <w:rPr>
                      <w:rFonts w:ascii="Cambria Math" w:hAnsi="Cambria Math" w:cs="Arial"/>
                      <w:i/>
                      <w:szCs w:val="24"/>
                      <w:lang w:val="en-GB"/>
                    </w:rPr>
                  </m:ctrlPr>
                </m:sSupPr>
                <m:e>
                  <m:r>
                    <w:rPr>
                      <w:rFonts w:ascii="Cambria Math" w:hAnsi="Cambria Math" w:cs="Arial"/>
                      <w:szCs w:val="24"/>
                      <w:lang w:val="en-GB"/>
                    </w:rPr>
                    <m:t>e</m:t>
                  </m:r>
                </m:e>
                <m:sup>
                  <m:r>
                    <w:rPr>
                      <w:rFonts w:ascii="Cambria Math" w:hAnsi="Cambria Math" w:cs="Arial"/>
                      <w:szCs w:val="24"/>
                      <w:lang w:val="en-GB"/>
                    </w:rPr>
                    <m:t>a+br</m:t>
                  </m:r>
                  <m:d>
                    <m:dPr>
                      <m:ctrlPr>
                        <w:rPr>
                          <w:rFonts w:ascii="Cambria Math" w:hAnsi="Cambria Math" w:cs="Arial"/>
                          <w:i/>
                          <w:szCs w:val="24"/>
                          <w:lang w:val="en-GB"/>
                        </w:rPr>
                      </m:ctrlPr>
                    </m:dPr>
                    <m:e>
                      <m:r>
                        <w:rPr>
                          <w:rFonts w:ascii="Cambria Math" w:hAnsi="Cambria Math" w:cs="Arial"/>
                          <w:szCs w:val="24"/>
                          <w:lang w:val="en-GB"/>
                        </w:rPr>
                        <m:t>t</m:t>
                      </m:r>
                    </m:e>
                  </m:d>
                </m:sup>
              </m:sSup>
            </m:den>
          </m:f>
        </m:oMath>
      </m:oMathPara>
    </w:p>
    <w:p w:rsidR="008F67E2" w:rsidRPr="008A6967" w:rsidRDefault="008F67E2" w:rsidP="008F67E2">
      <w:pPr>
        <w:spacing w:line="480" w:lineRule="auto"/>
        <w:rPr>
          <w:rFonts w:cs="Arial"/>
          <w:szCs w:val="24"/>
          <w:lang w:val="en-GB"/>
        </w:rPr>
      </w:pPr>
      <w:proofErr w:type="gramStart"/>
      <w:r w:rsidRPr="008A6967">
        <w:rPr>
          <w:rFonts w:cs="Arial"/>
          <w:szCs w:val="24"/>
          <w:lang w:val="en-GB"/>
        </w:rPr>
        <w:t>where</w:t>
      </w:r>
      <w:proofErr w:type="gramEnd"/>
      <w:r w:rsidRPr="008A6967">
        <w:rPr>
          <w:rFonts w:cs="Arial"/>
          <w:szCs w:val="24"/>
          <w:lang w:val="en-GB"/>
        </w:rPr>
        <w:t xml:space="preserve"> </w:t>
      </w:r>
      <w:r w:rsidRPr="008A6967">
        <w:rPr>
          <w:rFonts w:cs="Arial"/>
          <w:i/>
          <w:szCs w:val="24"/>
          <w:lang w:val="en-GB"/>
        </w:rPr>
        <w:t>a</w:t>
      </w:r>
      <w:r w:rsidRPr="008A6967">
        <w:rPr>
          <w:rFonts w:cs="Arial"/>
          <w:szCs w:val="24"/>
          <w:lang w:val="en-GB"/>
        </w:rPr>
        <w:t xml:space="preserve"> = 0.57287 and </w:t>
      </w:r>
      <w:r w:rsidRPr="008A6967">
        <w:rPr>
          <w:rFonts w:cs="Arial"/>
          <w:i/>
          <w:szCs w:val="24"/>
          <w:lang w:val="en-GB"/>
        </w:rPr>
        <w:t xml:space="preserve">b </w:t>
      </w:r>
      <w:r w:rsidRPr="008A6967">
        <w:rPr>
          <w:rFonts w:cs="Arial"/>
          <w:szCs w:val="24"/>
          <w:lang w:val="en-GB"/>
        </w:rPr>
        <w:t>= -4.04409.</w:t>
      </w:r>
    </w:p>
    <w:p w:rsidR="008F67E2" w:rsidRPr="008A6967" w:rsidRDefault="008F67E2" w:rsidP="008F67E2">
      <w:pPr>
        <w:spacing w:line="480" w:lineRule="auto"/>
        <w:rPr>
          <w:rFonts w:cs="Arial"/>
          <w:szCs w:val="24"/>
          <w:lang w:val="en-GB"/>
        </w:rPr>
      </w:pPr>
      <w:r w:rsidRPr="008A6967">
        <w:rPr>
          <w:rFonts w:cs="Arial"/>
          <w:szCs w:val="24"/>
          <w:lang w:val="en-GB"/>
        </w:rPr>
        <w:t xml:space="preserve">For each model run, we sampled a set of parameters from the distributions given in </w:t>
      </w:r>
      <w:r w:rsidRPr="008A6967">
        <w:rPr>
          <w:rFonts w:cs="Arial"/>
          <w:szCs w:val="24"/>
          <w:u w:val="single"/>
          <w:lang w:val="en-GB"/>
        </w:rPr>
        <w:t>Table 1</w:t>
      </w:r>
      <w:r w:rsidRPr="008A6967">
        <w:rPr>
          <w:rFonts w:cs="Arial"/>
          <w:szCs w:val="24"/>
          <w:lang w:val="en-GB"/>
        </w:rPr>
        <w:t xml:space="preserve"> of the main text. We assumed that the following transformations of exponential parameters were normally distributed:</w:t>
      </w:r>
    </w:p>
    <w:p w:rsidR="008F67E2" w:rsidRPr="008A6967" w:rsidRDefault="008F67E2" w:rsidP="008F67E2">
      <w:pPr>
        <w:pStyle w:val="ListParagraph"/>
        <w:numPr>
          <w:ilvl w:val="0"/>
          <w:numId w:val="1"/>
        </w:numPr>
        <w:spacing w:line="480" w:lineRule="auto"/>
        <w:rPr>
          <w:rFonts w:cs="Arial"/>
          <w:szCs w:val="24"/>
          <w:lang w:val="en-GB"/>
        </w:rPr>
      </w:pPr>
      <w:r w:rsidRPr="008A6967">
        <w:rPr>
          <w:rFonts w:cs="Arial"/>
          <w:szCs w:val="24"/>
          <w:lang w:val="en-GB"/>
        </w:rPr>
        <w:t xml:space="preserve">log </w:t>
      </w:r>
      <w:proofErr w:type="spellStart"/>
      <w:r w:rsidRPr="008A6967">
        <w:rPr>
          <w:rFonts w:cs="Arial"/>
          <w:i/>
          <w:szCs w:val="24"/>
          <w:lang w:val="en-GB"/>
        </w:rPr>
        <w:t>k</w:t>
      </w:r>
      <w:r w:rsidRPr="008A6967">
        <w:rPr>
          <w:rFonts w:cs="Arial"/>
          <w:i/>
          <w:szCs w:val="24"/>
          <w:vertAlign w:val="subscript"/>
          <w:lang w:val="en-GB"/>
        </w:rPr>
        <w:t>i</w:t>
      </w:r>
      <w:proofErr w:type="spellEnd"/>
    </w:p>
    <w:p w:rsidR="008F67E2" w:rsidRPr="008A6967" w:rsidRDefault="008F67E2" w:rsidP="008F67E2">
      <w:pPr>
        <w:pStyle w:val="ListParagraph"/>
        <w:numPr>
          <w:ilvl w:val="0"/>
          <w:numId w:val="1"/>
        </w:numPr>
        <w:spacing w:line="480" w:lineRule="auto"/>
        <w:rPr>
          <w:rFonts w:cs="Arial"/>
          <w:szCs w:val="24"/>
          <w:lang w:val="en-GB"/>
        </w:rPr>
      </w:pPr>
      <w:r w:rsidRPr="008A6967">
        <w:rPr>
          <w:rFonts w:cs="Arial"/>
          <w:szCs w:val="24"/>
          <w:lang w:val="en-GB"/>
        </w:rPr>
        <w:t>-</w:t>
      </w:r>
      <w:proofErr w:type="spellStart"/>
      <w:r w:rsidRPr="008A6967">
        <w:rPr>
          <w:rFonts w:cs="Arial"/>
          <w:i/>
          <w:szCs w:val="24"/>
          <w:lang w:val="en-GB"/>
        </w:rPr>
        <w:t>k</w:t>
      </w:r>
      <w:r w:rsidRPr="008A6967">
        <w:rPr>
          <w:rFonts w:cs="Arial"/>
          <w:i/>
          <w:szCs w:val="24"/>
          <w:vertAlign w:val="subscript"/>
          <w:lang w:val="en-GB"/>
        </w:rPr>
        <w:t>i</w:t>
      </w:r>
      <w:proofErr w:type="spellEnd"/>
      <w:r w:rsidRPr="008A6967">
        <w:rPr>
          <w:rFonts w:cs="Arial"/>
          <w:szCs w:val="24"/>
          <w:lang w:val="en-GB"/>
        </w:rPr>
        <w:t xml:space="preserve"> log </w:t>
      </w:r>
      <w:r w:rsidRPr="008A6967">
        <w:rPr>
          <w:rFonts w:cs="Arial"/>
          <w:i/>
          <w:szCs w:val="24"/>
          <w:lang w:val="el-GR"/>
        </w:rPr>
        <w:t>λ</w:t>
      </w:r>
      <w:r w:rsidRPr="008A6967">
        <w:rPr>
          <w:rFonts w:cs="Arial"/>
          <w:i/>
          <w:szCs w:val="24"/>
          <w:vertAlign w:val="subscript"/>
        </w:rPr>
        <w:t>i</w:t>
      </w:r>
    </w:p>
    <w:p w:rsidR="008F67E2" w:rsidRPr="008A6967" w:rsidRDefault="008F67E2" w:rsidP="008F67E2">
      <w:pPr>
        <w:pStyle w:val="ListParagraph"/>
        <w:numPr>
          <w:ilvl w:val="0"/>
          <w:numId w:val="1"/>
        </w:numPr>
        <w:spacing w:line="480" w:lineRule="auto"/>
        <w:rPr>
          <w:rFonts w:cs="Arial"/>
          <w:szCs w:val="24"/>
          <w:lang w:val="en-GB"/>
        </w:rPr>
      </w:pPr>
      <w:r w:rsidRPr="008A6967">
        <w:rPr>
          <w:rFonts w:cs="Arial"/>
          <w:i/>
          <w:szCs w:val="24"/>
          <w:lang w:val="en-GB"/>
        </w:rPr>
        <w:t>w</w:t>
      </w:r>
      <w:r w:rsidRPr="008A6967">
        <w:rPr>
          <w:rFonts w:cs="Arial"/>
          <w:szCs w:val="24"/>
          <w:lang w:val="en-GB"/>
        </w:rPr>
        <w:t xml:space="preserve"> (restricted to [0,1])</w:t>
      </w:r>
    </w:p>
    <w:p w:rsidR="008F67E2" w:rsidRPr="008A6967" w:rsidRDefault="008F67E2" w:rsidP="008F67E2">
      <w:pPr>
        <w:spacing w:line="480" w:lineRule="auto"/>
        <w:rPr>
          <w:rFonts w:cs="Arial"/>
          <w:szCs w:val="24"/>
          <w:lang w:val="en-US"/>
        </w:rPr>
      </w:pPr>
      <w:proofErr w:type="gramStart"/>
      <w:r w:rsidRPr="008A6967">
        <w:rPr>
          <w:rFonts w:cs="Arial"/>
          <w:szCs w:val="24"/>
          <w:lang w:val="en-GB"/>
        </w:rPr>
        <w:lastRenderedPageBreak/>
        <w:t>where</w:t>
      </w:r>
      <w:proofErr w:type="gramEnd"/>
      <w:r w:rsidRPr="008A6967">
        <w:rPr>
          <w:rFonts w:cs="Arial"/>
          <w:szCs w:val="24"/>
          <w:lang w:val="en-GB"/>
        </w:rPr>
        <w:t xml:space="preserve"> </w:t>
      </w:r>
      <w:proofErr w:type="spellStart"/>
      <w:r w:rsidRPr="008A6967">
        <w:rPr>
          <w:rFonts w:cs="Arial"/>
          <w:i/>
          <w:szCs w:val="24"/>
          <w:lang w:val="en-GB"/>
        </w:rPr>
        <w:t>k</w:t>
      </w:r>
      <w:r w:rsidRPr="008A6967">
        <w:rPr>
          <w:rFonts w:cs="Arial"/>
          <w:i/>
          <w:szCs w:val="24"/>
          <w:vertAlign w:val="subscript"/>
          <w:lang w:val="en-GB"/>
        </w:rPr>
        <w:t>i</w:t>
      </w:r>
      <w:proofErr w:type="spellEnd"/>
      <w:r w:rsidRPr="008A6967">
        <w:rPr>
          <w:rFonts w:cs="Arial"/>
          <w:szCs w:val="24"/>
          <w:lang w:val="en-GB"/>
        </w:rPr>
        <w:t xml:space="preserve">, </w:t>
      </w:r>
      <w:r w:rsidRPr="008A6967">
        <w:rPr>
          <w:rFonts w:cs="Arial"/>
          <w:i/>
          <w:szCs w:val="24"/>
          <w:lang w:val="el-GR"/>
        </w:rPr>
        <w:t>λ</w:t>
      </w:r>
      <w:r w:rsidRPr="008A6967">
        <w:rPr>
          <w:rFonts w:cs="Arial"/>
          <w:i/>
          <w:szCs w:val="24"/>
          <w:vertAlign w:val="subscript"/>
          <w:lang w:val="en-US"/>
        </w:rPr>
        <w:t>i</w:t>
      </w:r>
      <w:r w:rsidRPr="008A6967">
        <w:rPr>
          <w:rFonts w:cs="Arial"/>
          <w:i/>
          <w:szCs w:val="24"/>
          <w:lang w:val="en-US"/>
        </w:rPr>
        <w:t xml:space="preserve"> </w:t>
      </w:r>
      <w:r w:rsidRPr="008A6967">
        <w:rPr>
          <w:rFonts w:cs="Arial"/>
          <w:szCs w:val="24"/>
          <w:lang w:val="en-US"/>
        </w:rPr>
        <w:t xml:space="preserve">and </w:t>
      </w:r>
      <w:proofErr w:type="spellStart"/>
      <w:r w:rsidRPr="008A6967">
        <w:rPr>
          <w:rFonts w:cs="Arial"/>
          <w:i/>
          <w:szCs w:val="24"/>
          <w:lang w:val="en-US"/>
        </w:rPr>
        <w:t>w</w:t>
      </w:r>
      <w:proofErr w:type="spellEnd"/>
      <w:r w:rsidRPr="008A6967">
        <w:rPr>
          <w:rFonts w:cs="Arial"/>
          <w:szCs w:val="24"/>
          <w:lang w:val="en-US"/>
        </w:rPr>
        <w:t xml:space="preserve"> are the shape, scale and weight parameters of a double </w:t>
      </w:r>
      <w:proofErr w:type="spellStart"/>
      <w:r w:rsidRPr="008A6967">
        <w:rPr>
          <w:rFonts w:cs="Arial"/>
          <w:szCs w:val="24"/>
          <w:lang w:val="en-US"/>
        </w:rPr>
        <w:t>Weibull</w:t>
      </w:r>
      <w:proofErr w:type="spellEnd"/>
      <w:r w:rsidRPr="008A6967">
        <w:rPr>
          <w:rFonts w:cs="Arial"/>
          <w:szCs w:val="24"/>
          <w:lang w:val="en-US"/>
        </w:rPr>
        <w:t xml:space="preserve"> distribution (exponential and </w:t>
      </w:r>
      <w:proofErr w:type="spellStart"/>
      <w:r w:rsidRPr="008A6967">
        <w:rPr>
          <w:rFonts w:cs="Arial"/>
          <w:szCs w:val="24"/>
          <w:lang w:val="en-US"/>
        </w:rPr>
        <w:t>Weibull</w:t>
      </w:r>
      <w:proofErr w:type="spellEnd"/>
      <w:r w:rsidRPr="008A6967">
        <w:rPr>
          <w:rFonts w:cs="Arial"/>
          <w:szCs w:val="24"/>
          <w:lang w:val="en-US"/>
        </w:rPr>
        <w:t xml:space="preserve"> distributions are treated as special cases of the double </w:t>
      </w:r>
      <w:proofErr w:type="spellStart"/>
      <w:r w:rsidRPr="008A6967">
        <w:rPr>
          <w:rFonts w:cs="Arial"/>
          <w:szCs w:val="24"/>
          <w:lang w:val="en-US"/>
        </w:rPr>
        <w:t>Weibull</w:t>
      </w:r>
      <w:proofErr w:type="spellEnd"/>
      <w:r w:rsidRPr="008A6967">
        <w:rPr>
          <w:rFonts w:cs="Arial"/>
          <w:szCs w:val="24"/>
          <w:lang w:val="en-US"/>
        </w:rPr>
        <w:t xml:space="preserve"> distribution). A detailed description of the distributions and parameterization can be found in the web appendix of Estill </w:t>
      </w:r>
      <w:r w:rsidRPr="008A6967">
        <w:rPr>
          <w:rFonts w:cs="Arial"/>
          <w:i/>
          <w:szCs w:val="24"/>
          <w:lang w:val="en-US"/>
        </w:rPr>
        <w:t>et al</w:t>
      </w:r>
      <w:r w:rsidRPr="008A6967">
        <w:rPr>
          <w:rFonts w:cs="Arial"/>
          <w:szCs w:val="24"/>
          <w:lang w:val="en-US"/>
        </w:rPr>
        <w:t xml:space="preserve"> </w:t>
      </w:r>
      <w:r w:rsidRPr="008A6967">
        <w:rPr>
          <w:rFonts w:cs="Arial"/>
          <w:szCs w:val="24"/>
          <w:lang w:val="en-US"/>
        </w:rPr>
        <w:fldChar w:fldCharType="begin"/>
      </w:r>
      <w:r w:rsidRPr="008A6967">
        <w:rPr>
          <w:rFonts w:cs="Arial"/>
          <w:szCs w:val="24"/>
          <w:lang w:val="en-US"/>
        </w:rPr>
        <w:instrText xml:space="preserve"> ADDIN EN.CITE &lt;EndNote&gt;&lt;Cite&gt;&lt;Author&gt;Estill&lt;/Author&gt;&lt;Year&gt;2012&lt;/Year&gt;&lt;RecNum&gt;1786&lt;/RecNum&gt;&lt;DisplayText&gt;[1]&lt;/DisplayText&gt;&lt;record&gt;&lt;rec-number&gt;1786&lt;/rec-number&gt;&lt;foreign-keys&gt;&lt;key app="EN" db-id="0vr0rx5r7d0fw7eavpcvvdsixvf2rze55ff5"&gt;1786&lt;/key&gt;&lt;/foreign-keys&gt;&lt;ref-type name="Journal Article"&gt;17&lt;/ref-type&gt;&lt;contributors&gt;&lt;authors&gt;&lt;author&gt;Estill, Janne&lt;/author&gt;&lt;author&gt;Aubriere, Cindy&lt;/author&gt;&lt;author&gt;Egger, Matthias&lt;/author&gt;&lt;author&gt;Johnson, Leigh&lt;/author&gt;&lt;author&gt;Wood, Robin&lt;/author&gt;&lt;author&gt;Garone, Daniela&lt;/author&gt;&lt;author&gt;Gsponer, Thomas&lt;/author&gt;&lt;author&gt;Wandeler, Gilles&lt;/author&gt;&lt;author&gt;Boulle, Andrew&lt;/author&gt;&lt;author&gt;Davies, Mary-Ann&lt;/author&gt;&lt;author&gt;Hallett, Tim&lt;/author&gt;&lt;author&gt;Keiser, Olivia&lt;/author&gt;&lt;/authors&gt;&lt;/contributors&gt;&lt;titles&gt;&lt;title&gt;Viral load monitoring of antiretroviral therapy, cohort viral load and HIV transmission in Southern Africa: A mathematical modelling analysis&lt;/title&gt;&lt;secondary-title&gt;AIDS&lt;/secondary-title&gt;&lt;/titles&gt;&lt;periodical&gt;&lt;full-title&gt;AIDS&lt;/full-title&gt;&lt;/periodical&gt;&lt;pages&gt;1403-1413&lt;/pages&gt;&lt;volume&gt;26&lt;/volume&gt;&lt;number&gt;11&lt;/number&gt;&lt;edition&gt;2012/03/20&lt;/edition&gt;&lt;section&gt;1403&lt;/section&gt;&lt;keywords&gt;&lt;keyword&gt;HIV transmission&lt;/keyword&gt;&lt;keyword&gt;mathematical model&lt;/keyword&gt;&lt;keyword&gt;second-line therapy&lt;/keyword&gt;&lt;keyword&gt;Southern Africa&lt;/keyword&gt;&lt;keyword&gt;test and treat&lt;/keyword&gt;&lt;keyword&gt;therapy failure&lt;/keyword&gt;&lt;keyword&gt;viral load monitoring&lt;/keyword&gt;&lt;keyword&gt;00002030-900000000-98956&lt;/keyword&gt;&lt;/keywords&gt;&lt;dates&gt;&lt;year&gt;2012&lt;/year&gt;&lt;pub-dates&gt;&lt;date&gt;2012/07/17&lt;/date&gt;&lt;/pub-dates&gt;&lt;/dates&gt;&lt;isbn&gt;0269-9370&lt;/isbn&gt;&lt;urls&gt;&lt;related-urls&gt;&lt;url&gt;http://journals.lww.com/aidsonline/Fulltext/publishahead/Viral_load_monitoring_of_antiretroviral_therapy,.98956.aspx&lt;/url&gt;&lt;/related-urls&gt;&lt;/urls&gt;&lt;electronic-resource-num&gt;10.1097/QAD.0b013e3283536988&lt;/electronic-resource-num&gt;&lt;/record&gt;&lt;/Cite&gt;&lt;/EndNote&gt;</w:instrText>
      </w:r>
      <w:r w:rsidRPr="008A6967">
        <w:rPr>
          <w:rFonts w:cs="Arial"/>
          <w:szCs w:val="24"/>
          <w:lang w:val="en-US"/>
        </w:rPr>
        <w:fldChar w:fldCharType="separate"/>
      </w:r>
      <w:r w:rsidRPr="008A6967">
        <w:rPr>
          <w:rFonts w:cs="Arial"/>
          <w:noProof/>
          <w:szCs w:val="24"/>
          <w:lang w:val="en-US"/>
        </w:rPr>
        <w:t>[</w:t>
      </w:r>
      <w:hyperlink w:anchor="_ENREF_1" w:tooltip="Estill, 2012 #1786" w:history="1">
        <w:r w:rsidRPr="008A6967">
          <w:rPr>
            <w:rFonts w:cs="Arial"/>
            <w:noProof/>
            <w:szCs w:val="24"/>
            <w:lang w:val="en-US"/>
          </w:rPr>
          <w:t>1</w:t>
        </w:r>
      </w:hyperlink>
      <w:r w:rsidRPr="008A6967">
        <w:rPr>
          <w:rFonts w:cs="Arial"/>
          <w:noProof/>
          <w:szCs w:val="24"/>
          <w:lang w:val="en-US"/>
        </w:rPr>
        <w:t>]</w:t>
      </w:r>
      <w:r w:rsidRPr="008A6967">
        <w:rPr>
          <w:rFonts w:cs="Arial"/>
          <w:szCs w:val="24"/>
          <w:lang w:val="en-US"/>
        </w:rPr>
        <w:fldChar w:fldCharType="end"/>
      </w:r>
      <w:r w:rsidRPr="008A6967">
        <w:rPr>
          <w:rFonts w:cs="Arial"/>
          <w:szCs w:val="24"/>
          <w:lang w:val="en-US"/>
        </w:rPr>
        <w:t xml:space="preserve">. </w:t>
      </w:r>
    </w:p>
    <w:p w:rsidR="008F67E2" w:rsidRPr="008A6967" w:rsidRDefault="008F67E2" w:rsidP="008F67E2">
      <w:pPr>
        <w:spacing w:line="480" w:lineRule="auto"/>
        <w:rPr>
          <w:rFonts w:cs="Arial"/>
          <w:szCs w:val="24"/>
          <w:u w:val="single"/>
          <w:lang w:val="en-GB"/>
        </w:rPr>
      </w:pPr>
      <w:r w:rsidRPr="008A6967">
        <w:rPr>
          <w:rFonts w:cs="Arial"/>
          <w:szCs w:val="24"/>
          <w:u w:val="single"/>
          <w:lang w:val="en-GB"/>
        </w:rPr>
        <w:t>Data sources</w:t>
      </w:r>
    </w:p>
    <w:p w:rsidR="008F67E2" w:rsidRPr="008A6967" w:rsidRDefault="008F67E2" w:rsidP="008F67E2">
      <w:pPr>
        <w:spacing w:line="480" w:lineRule="auto"/>
        <w:rPr>
          <w:rFonts w:cs="Arial"/>
          <w:szCs w:val="24"/>
          <w:lang w:val="en-GB"/>
        </w:rPr>
      </w:pPr>
      <w:r w:rsidRPr="008A6967">
        <w:rPr>
          <w:rFonts w:cs="Arial"/>
          <w:szCs w:val="24"/>
          <w:lang w:val="en-GB"/>
        </w:rPr>
        <w:t xml:space="preserve">The </w:t>
      </w:r>
      <w:proofErr w:type="spellStart"/>
      <w:r w:rsidRPr="008A6967">
        <w:rPr>
          <w:rFonts w:cs="Arial"/>
          <w:szCs w:val="24"/>
          <w:lang w:val="en-GB"/>
        </w:rPr>
        <w:t>IeDEA</w:t>
      </w:r>
      <w:proofErr w:type="spellEnd"/>
      <w:r w:rsidRPr="008A6967">
        <w:rPr>
          <w:rFonts w:cs="Arial"/>
          <w:szCs w:val="24"/>
          <w:lang w:val="en-GB"/>
        </w:rPr>
        <w:t xml:space="preserve">-SA database currently includes over 300,000 patients receiving ART in 19 ART programmes in seven Southern African countries and includes cohorts with and without routine viral load monitoring. </w:t>
      </w:r>
      <w:proofErr w:type="spellStart"/>
      <w:r w:rsidRPr="008A6967">
        <w:rPr>
          <w:rFonts w:cs="Arial"/>
          <w:szCs w:val="24"/>
          <w:lang w:val="en-GB"/>
        </w:rPr>
        <w:t>IeDEA</w:t>
      </w:r>
      <w:proofErr w:type="spellEnd"/>
      <w:r w:rsidRPr="008A6967">
        <w:rPr>
          <w:rFonts w:cs="Arial"/>
          <w:szCs w:val="24"/>
          <w:lang w:val="en-GB"/>
        </w:rPr>
        <w:t xml:space="preserve">-SA is part of </w:t>
      </w:r>
      <w:proofErr w:type="spellStart"/>
      <w:r w:rsidRPr="008A6967">
        <w:rPr>
          <w:rFonts w:cs="Arial"/>
          <w:szCs w:val="24"/>
          <w:lang w:val="en-GB"/>
        </w:rPr>
        <w:t>IeDEA</w:t>
      </w:r>
      <w:proofErr w:type="spellEnd"/>
      <w:r w:rsidRPr="008A6967">
        <w:rPr>
          <w:rFonts w:cs="Arial"/>
          <w:szCs w:val="24"/>
          <w:lang w:val="en-GB"/>
        </w:rPr>
        <w:t>, which includes similar networks in other regions of Africa, America and Asia (</w:t>
      </w:r>
      <w:r w:rsidRPr="008A6967">
        <w:rPr>
          <w:rFonts w:cs="Arial"/>
          <w:szCs w:val="24"/>
          <w:lang w:val="en-GB"/>
        </w:rPr>
        <w:fldChar w:fldCharType="begin"/>
      </w:r>
      <w:r w:rsidRPr="008A6967">
        <w:rPr>
          <w:rFonts w:cs="Arial"/>
          <w:szCs w:val="24"/>
          <w:lang w:val="en-GB"/>
        </w:rPr>
        <w:instrText xml:space="preserve"> ADDIN EN.CITE &lt;EndNote&gt;&lt;Cite&gt;&lt;Author&gt;Egger&lt;/Author&gt;&lt;Year&gt;2012&lt;/Year&gt;&lt;RecNum&gt;1607&lt;/RecNum&gt;&lt;DisplayText&gt;[4]&lt;/DisplayText&gt;&lt;record&gt;&lt;rec-number&gt;1607&lt;/rec-number&gt;&lt;foreign-keys&gt;&lt;key app="EN" db-id="0vr0rx5r7d0fw7eavpcvvdsixvf2rze55ff5"&gt;1607&lt;/key&gt;&lt;key app="ENWeb" db-id=""&gt;0&lt;/key&gt;&lt;/foreign-keys&gt;&lt;ref-type name="Journal Article"&gt;17&lt;/ref-type&gt;&lt;contributors&gt;&lt;authors&gt;&lt;author&gt;Egger, Matthias&lt;/author&gt;&lt;author&gt;Ekouevi, D. K.&lt;/author&gt;&lt;author&gt;Williams, C.&lt;/author&gt;&lt;author&gt;Lyamuya, R. E.&lt;/author&gt;&lt;author&gt;Mukumbi, H.&lt;/author&gt;&lt;author&gt;Braitstein, P.&lt;/author&gt;&lt;author&gt;Hartwell, T.&lt;/author&gt;&lt;author&gt;Graber, Claire&lt;/author&gt;&lt;author&gt;Chi, Benjamin H.&lt;/author&gt;&lt;author&gt;Boulle, Andrew&lt;/author&gt;&lt;author&gt;Dabis, F.&lt;/author&gt;&lt;author&gt;Wools-Kaloustian, K.&lt;/author&gt;&lt;/authors&gt;&lt;/contributors&gt;&lt;titles&gt;&lt;title&gt;Cohort Profile: The international epidemiological databases to evaluate AIDS (IeDEA) in sub-Saharan Africa&lt;/title&gt;&lt;secondary-title&gt;Int J Epidemiol&lt;/secondary-title&gt;&lt;/titles&gt;&lt;periodical&gt;&lt;full-title&gt;Int J Epidemiol&lt;/full-title&gt;&lt;/periodical&gt;&lt;pages&gt;1256-1264&lt;/pages&gt;&lt;volume&gt;41&lt;/volume&gt;&lt;number&gt;5&lt;/number&gt;&lt;edition&gt;2011/05/18&lt;/edition&gt;&lt;section&gt;1256&lt;/section&gt;&lt;dates&gt;&lt;year&gt;2012&lt;/year&gt;&lt;/dates&gt;&lt;urls&gt;&lt;/urls&gt;&lt;electronic-resource-num&gt;10.1093/ije/dyr080&lt;/electronic-resource-num&gt;&lt;/record&gt;&lt;/Cite&gt;&lt;/EndNote&gt;</w:instrText>
      </w:r>
      <w:r w:rsidRPr="008A6967">
        <w:rPr>
          <w:rFonts w:cs="Arial"/>
          <w:szCs w:val="24"/>
          <w:lang w:val="en-GB"/>
        </w:rPr>
        <w:fldChar w:fldCharType="separate"/>
      </w:r>
      <w:r w:rsidRPr="008A6967">
        <w:rPr>
          <w:rFonts w:cs="Arial"/>
          <w:noProof/>
          <w:szCs w:val="24"/>
          <w:lang w:val="en-GB"/>
        </w:rPr>
        <w:t>[</w:t>
      </w:r>
      <w:hyperlink w:anchor="_ENREF_4" w:tooltip="Egger, 2012 #1607" w:history="1">
        <w:r w:rsidRPr="008A6967">
          <w:rPr>
            <w:rFonts w:cs="Arial"/>
            <w:noProof/>
            <w:szCs w:val="24"/>
            <w:lang w:val="en-GB"/>
          </w:rPr>
          <w:t>4</w:t>
        </w:r>
      </w:hyperlink>
      <w:r w:rsidRPr="008A6967">
        <w:rPr>
          <w:rFonts w:cs="Arial"/>
          <w:noProof/>
          <w:szCs w:val="24"/>
          <w:lang w:val="en-GB"/>
        </w:rPr>
        <w:t>]</w:t>
      </w:r>
      <w:r w:rsidRPr="008A6967">
        <w:rPr>
          <w:rFonts w:cs="Arial"/>
          <w:szCs w:val="24"/>
          <w:lang w:val="en-GB"/>
        </w:rPr>
        <w:fldChar w:fldCharType="end"/>
      </w:r>
      <w:r w:rsidRPr="008A6967">
        <w:rPr>
          <w:rFonts w:cs="Arial"/>
          <w:szCs w:val="24"/>
          <w:lang w:val="en-GB"/>
        </w:rPr>
        <w:t xml:space="preserve">; </w:t>
      </w:r>
      <w:hyperlink r:id="rId6" w:history="1">
        <w:r w:rsidRPr="008A6967">
          <w:rPr>
            <w:rStyle w:val="Hyperlink"/>
            <w:rFonts w:cs="Arial"/>
            <w:szCs w:val="24"/>
            <w:lang w:val="en-GB"/>
          </w:rPr>
          <w:t>www.iedea.org</w:t>
        </w:r>
      </w:hyperlink>
      <w:r w:rsidRPr="008A6967">
        <w:rPr>
          <w:rFonts w:cs="Arial"/>
          <w:szCs w:val="24"/>
          <w:lang w:val="en-GB"/>
        </w:rPr>
        <w:t>).</w:t>
      </w:r>
    </w:p>
    <w:p w:rsidR="008F67E2" w:rsidRPr="008A6967" w:rsidRDefault="008F67E2" w:rsidP="008F67E2">
      <w:pPr>
        <w:spacing w:line="480" w:lineRule="auto"/>
        <w:rPr>
          <w:rFonts w:cs="Arial"/>
          <w:szCs w:val="24"/>
          <w:lang w:val="en-GB"/>
        </w:rPr>
      </w:pPr>
      <w:r w:rsidRPr="008A6967">
        <w:rPr>
          <w:rFonts w:cs="Arial"/>
          <w:szCs w:val="24"/>
          <w:lang w:val="en-GB"/>
        </w:rPr>
        <w:t xml:space="preserve">We selected two cohorts from South Africa, </w:t>
      </w:r>
      <w:proofErr w:type="spellStart"/>
      <w:r w:rsidRPr="008A6967">
        <w:rPr>
          <w:rFonts w:cs="Arial"/>
          <w:szCs w:val="24"/>
          <w:lang w:val="en-GB"/>
        </w:rPr>
        <w:t>Gugulethu</w:t>
      </w:r>
      <w:proofErr w:type="spellEnd"/>
      <w:r w:rsidRPr="008A6967">
        <w:rPr>
          <w:rFonts w:cs="Arial"/>
          <w:szCs w:val="24"/>
          <w:lang w:val="en-GB"/>
        </w:rPr>
        <w:t xml:space="preserve"> and </w:t>
      </w:r>
      <w:proofErr w:type="spellStart"/>
      <w:r w:rsidRPr="008A6967">
        <w:rPr>
          <w:rFonts w:cs="Arial"/>
          <w:szCs w:val="24"/>
          <w:lang w:val="en-GB"/>
        </w:rPr>
        <w:t>Khayelitsha</w:t>
      </w:r>
      <w:proofErr w:type="spellEnd"/>
      <w:r w:rsidRPr="008A6967">
        <w:rPr>
          <w:rFonts w:cs="Arial"/>
          <w:szCs w:val="24"/>
          <w:lang w:val="en-GB"/>
        </w:rPr>
        <w:t xml:space="preserve">, which have both viral load and CD4 values available on average at least once a year for at least 50% of the patients. Additionally, data from patients in the Centre for Infectious Disease Research in Zambia (CIDRZ) programme, who experienced immunologic failure and did not have a viral load measurement available to confirm failure, were </w:t>
      </w:r>
      <w:proofErr w:type="spellStart"/>
      <w:r w:rsidRPr="008A6967">
        <w:rPr>
          <w:rFonts w:cs="Arial"/>
          <w:szCs w:val="24"/>
          <w:lang w:val="en-GB"/>
        </w:rPr>
        <w:t>analyzed</w:t>
      </w:r>
      <w:proofErr w:type="spellEnd"/>
      <w:r w:rsidRPr="008A6967">
        <w:rPr>
          <w:rFonts w:cs="Arial"/>
          <w:szCs w:val="24"/>
          <w:lang w:val="en-GB"/>
        </w:rPr>
        <w:t xml:space="preserve"> to estimate the time from failure to switching in the absence of viral load measurements. The data used to parameterize the model – including the distribution of patient characteristics at start of ART – were taken from the </w:t>
      </w:r>
      <w:proofErr w:type="spellStart"/>
      <w:r w:rsidRPr="008A6967">
        <w:rPr>
          <w:rFonts w:cs="Arial"/>
          <w:szCs w:val="24"/>
          <w:lang w:val="en-GB"/>
        </w:rPr>
        <w:t>IeDEA</w:t>
      </w:r>
      <w:proofErr w:type="spellEnd"/>
      <w:r w:rsidRPr="008A6967">
        <w:rPr>
          <w:rFonts w:cs="Arial"/>
          <w:szCs w:val="24"/>
          <w:lang w:val="en-GB"/>
        </w:rPr>
        <w:t xml:space="preserve">-SA cohorts whenever possible. When no data were available, we used data from the literature or made various assumptions which were tested in sensitivity analyses. We also calculated mortality rates from all three programmes and additionally loss to follow-up, </w:t>
      </w:r>
      <w:proofErr w:type="spellStart"/>
      <w:r w:rsidRPr="008A6967">
        <w:rPr>
          <w:rFonts w:cs="Arial"/>
          <w:szCs w:val="24"/>
          <w:lang w:val="en-GB"/>
        </w:rPr>
        <w:t>virologic</w:t>
      </w:r>
      <w:proofErr w:type="spellEnd"/>
      <w:r w:rsidRPr="008A6967">
        <w:rPr>
          <w:rFonts w:cs="Arial"/>
          <w:szCs w:val="24"/>
          <w:lang w:val="en-GB"/>
        </w:rPr>
        <w:t xml:space="preserve"> failure and immunologic failure rates from </w:t>
      </w:r>
      <w:proofErr w:type="spellStart"/>
      <w:r w:rsidRPr="008A6967">
        <w:rPr>
          <w:rFonts w:cs="Arial"/>
          <w:szCs w:val="24"/>
          <w:lang w:val="en-GB"/>
        </w:rPr>
        <w:t>Gugulethu</w:t>
      </w:r>
      <w:proofErr w:type="spellEnd"/>
      <w:r w:rsidRPr="008A6967">
        <w:rPr>
          <w:rFonts w:cs="Arial"/>
          <w:szCs w:val="24"/>
          <w:lang w:val="en-GB"/>
        </w:rPr>
        <w:t xml:space="preserve"> and </w:t>
      </w:r>
      <w:proofErr w:type="spellStart"/>
      <w:r w:rsidRPr="008A6967">
        <w:rPr>
          <w:rFonts w:cs="Arial"/>
          <w:szCs w:val="24"/>
          <w:lang w:val="en-GB"/>
        </w:rPr>
        <w:t>Khayelitsha</w:t>
      </w:r>
      <w:proofErr w:type="spellEnd"/>
      <w:r w:rsidRPr="008A6967">
        <w:rPr>
          <w:rFonts w:cs="Arial"/>
          <w:szCs w:val="24"/>
          <w:lang w:val="en-GB"/>
        </w:rPr>
        <w:t xml:space="preserve"> only to compare the fit of the model to the data.</w:t>
      </w:r>
    </w:p>
    <w:p w:rsidR="008F67E2" w:rsidRPr="008A6967" w:rsidRDefault="008F67E2" w:rsidP="008F67E2">
      <w:pPr>
        <w:spacing w:line="480" w:lineRule="auto"/>
        <w:rPr>
          <w:rFonts w:cs="Arial"/>
          <w:szCs w:val="24"/>
          <w:lang w:val="en-GB"/>
        </w:rPr>
      </w:pPr>
      <w:r w:rsidRPr="008A6967">
        <w:rPr>
          <w:rFonts w:cs="Arial"/>
          <w:szCs w:val="24"/>
          <w:lang w:val="en-GB"/>
        </w:rPr>
        <w:t xml:space="preserve">Inclusion criteria and definitions have been previously described </w:t>
      </w:r>
      <w:r w:rsidRPr="008A6967">
        <w:rPr>
          <w:rFonts w:cs="Arial"/>
          <w:szCs w:val="24"/>
          <w:lang w:val="en-GB"/>
        </w:rPr>
        <w:fldChar w:fldCharType="begin"/>
      </w:r>
      <w:r w:rsidRPr="008A6967">
        <w:rPr>
          <w:rFonts w:cs="Arial"/>
          <w:szCs w:val="24"/>
          <w:lang w:val="en-GB"/>
        </w:rPr>
        <w:instrText xml:space="preserve"> ADDIN EN.CITE &lt;EndNote&gt;&lt;Cite ExcludeAuth="1" ExcludeYear="1"&gt;&lt;RecNum&gt;1618&lt;/RecNum&gt;&lt;DisplayText&gt;[5]&lt;/DisplayText&gt;&lt;record&gt;&lt;rec-number&gt;1618&lt;/rec-number&gt;&lt;foreign-keys&gt;&lt;key app="EN" db-id="0vr0rx5r7d0fw7eavpcvvdsixvf2rze55ff5"&gt;1618&lt;/key&gt;&lt;/foreign-keys&gt;&lt;ref-type name="Journal Article"&gt;17&lt;/ref-type&gt;&lt;contributors&gt;&lt;authors&gt;&lt;author&gt;Keiser, Olivia&lt;/author&gt;&lt;author&gt;Chi, Benjamin H.&lt;/author&gt;&lt;author&gt;Gsponer, Thomas&lt;/author&gt;&lt;author&gt;Boulle, Andrew&lt;/author&gt;&lt;author&gt;Orrell, Catherine&lt;/author&gt;&lt;author&gt;Phiri, Sam&lt;/author&gt;&lt;author&gt;Maxwell, Nicola&lt;/author&gt;&lt;author&gt;Maskew, Mhairi&lt;/author&gt;&lt;author&gt;Prozesky, Hans&lt;/author&gt;&lt;author&gt;Fox, Matthew P.&lt;/author&gt;&lt;author&gt;Westfall, Andrew&lt;/author&gt;&lt;author&gt;Egger, Matthias&lt;/author&gt;&lt;/authors&gt;&lt;/contributors&gt;&lt;titles&gt;&lt;title&gt;Outcomes of antiretroviral treatment in programmes with and without routine viral load monitoring in Southern Africa&lt;/title&gt;&lt;secondary-title&gt;AIDS&lt;/secondary-title&gt;&lt;/titles&gt;&lt;periodical&gt;&lt;full-title&gt;AIDS&lt;/full-title&gt;&lt;/periodical&gt;&lt;pages&gt;1761-1769&lt;/pages&gt;&lt;volume&gt;25&lt;/volume&gt;&lt;number&gt;14&lt;/number&gt;&lt;section&gt;1761&lt;/section&gt;&lt;dates&gt;&lt;year&gt;2011&lt;/year&gt;&lt;pub-dates&gt;&lt;date&gt;2011/09/10&lt;/date&gt;&lt;/pub-dates&gt;&lt;/dates&gt;&lt;urls&gt;&lt;/urls&gt;&lt;electronic-resource-num&gt;10.1097/QAD.0b013e328349822f&lt;/electronic-resource-num&gt;&lt;/record&gt;&lt;/Cite&gt;&lt;/EndNote&gt;</w:instrText>
      </w:r>
      <w:r w:rsidRPr="008A6967">
        <w:rPr>
          <w:rFonts w:cs="Arial"/>
          <w:szCs w:val="24"/>
          <w:lang w:val="en-GB"/>
        </w:rPr>
        <w:fldChar w:fldCharType="separate"/>
      </w:r>
      <w:r w:rsidRPr="008A6967">
        <w:rPr>
          <w:rFonts w:cs="Arial"/>
          <w:noProof/>
          <w:szCs w:val="24"/>
          <w:lang w:val="en-GB"/>
        </w:rPr>
        <w:t>[</w:t>
      </w:r>
      <w:hyperlink w:anchor="_ENREF_5" w:tooltip="Keiser, 2011 #1618" w:history="1">
        <w:r w:rsidRPr="008A6967">
          <w:rPr>
            <w:rFonts w:cs="Arial"/>
            <w:noProof/>
            <w:szCs w:val="24"/>
            <w:lang w:val="en-GB"/>
          </w:rPr>
          <w:t>5</w:t>
        </w:r>
      </w:hyperlink>
      <w:r w:rsidRPr="008A6967">
        <w:rPr>
          <w:rFonts w:cs="Arial"/>
          <w:noProof/>
          <w:szCs w:val="24"/>
          <w:lang w:val="en-GB"/>
        </w:rPr>
        <w:t>]</w:t>
      </w:r>
      <w:r w:rsidRPr="008A6967">
        <w:rPr>
          <w:rFonts w:cs="Arial"/>
          <w:szCs w:val="24"/>
          <w:lang w:val="en-GB"/>
        </w:rPr>
        <w:fldChar w:fldCharType="end"/>
      </w:r>
      <w:r w:rsidRPr="008A6967">
        <w:rPr>
          <w:rFonts w:cs="Arial"/>
          <w:szCs w:val="24"/>
          <w:lang w:val="en-GB"/>
        </w:rPr>
        <w:t xml:space="preserve">: Briefly, we included all treatment naïve </w:t>
      </w:r>
      <w:r w:rsidRPr="008A6967">
        <w:rPr>
          <w:rFonts w:cs="Arial"/>
          <w:szCs w:val="24"/>
          <w:lang w:val="en-GB" w:eastAsia="de-CH"/>
        </w:rPr>
        <w:t>patients</w:t>
      </w:r>
      <w:r w:rsidRPr="008A6967">
        <w:rPr>
          <w:rFonts w:cs="Arial"/>
          <w:szCs w:val="24"/>
          <w:lang w:val="en-GB"/>
        </w:rPr>
        <w:t xml:space="preserve"> aged 16 years and older who started ART with a </w:t>
      </w:r>
      <w:r w:rsidRPr="008A6967">
        <w:rPr>
          <w:rFonts w:cs="Arial"/>
          <w:szCs w:val="24"/>
          <w:lang w:val="en-GB"/>
        </w:rPr>
        <w:lastRenderedPageBreak/>
        <w:t xml:space="preserve">non-nucleoside reverse transcriptase inhibitor (NNRTI)-based regimen and who had at least one day of follow-up. Following the WHO criteria in place at the time of data collection and analysis </w:t>
      </w:r>
      <w:r w:rsidRPr="008A6967">
        <w:rPr>
          <w:rFonts w:cs="Arial"/>
          <w:szCs w:val="24"/>
          <w:lang w:val="en-GB"/>
        </w:rPr>
        <w:fldChar w:fldCharType="begin"/>
      </w:r>
      <w:r w:rsidRPr="008A6967">
        <w:rPr>
          <w:rFonts w:cs="Arial"/>
          <w:szCs w:val="24"/>
          <w:lang w:val="en-GB"/>
        </w:rPr>
        <w:instrText xml:space="preserve"> ADDIN EN.CITE &lt;EndNote&gt;&lt;Cite&gt;&lt;Year&gt;2006&lt;/Year&gt;&lt;RecNum&gt;741&lt;/RecNum&gt;&lt;DisplayText&gt;[6]&lt;/DisplayText&gt;&lt;record&gt;&lt;rec-number&gt;741&lt;/rec-number&gt;&lt;foreign-keys&gt;&lt;key app="EN" db-id="0vr0rx5r7d0fw7eavpcvvdsixvf2rze55ff5"&gt;741&lt;/key&gt;&lt;/foreign-keys&gt;&lt;ref-type name="Journal Article"&gt;17&lt;/ref-type&gt;&lt;contributors&gt;&lt;/contributors&gt;&lt;titles&gt;&lt;title&gt;World Health Organisation. Antiretroviral therapy for HIV Infection in adults and adolescents in resource-limited settings: towards universal access. Recommendations for a public health approach. Available at: http://www.who.int/hiv/pub/guidelines/adult/en/index.html. Accessed 4 Feb 2010.&lt;/title&gt;&lt;/titles&gt;&lt;dates&gt;&lt;year&gt;2006&lt;/year&gt;&lt;/dates&gt;&lt;urls&gt;&lt;/urls&gt;&lt;/record&gt;&lt;/Cite&gt;&lt;/EndNote&gt;</w:instrText>
      </w:r>
      <w:r w:rsidRPr="008A6967">
        <w:rPr>
          <w:rFonts w:cs="Arial"/>
          <w:szCs w:val="24"/>
          <w:lang w:val="en-GB"/>
        </w:rPr>
        <w:fldChar w:fldCharType="separate"/>
      </w:r>
      <w:r w:rsidRPr="008A6967">
        <w:rPr>
          <w:rFonts w:cs="Arial"/>
          <w:noProof/>
          <w:szCs w:val="24"/>
          <w:lang w:val="en-GB"/>
        </w:rPr>
        <w:t>[</w:t>
      </w:r>
      <w:hyperlink w:anchor="_ENREF_6" w:tooltip=", 2006 #741" w:history="1">
        <w:r w:rsidRPr="008A6967">
          <w:rPr>
            <w:rFonts w:cs="Arial"/>
            <w:noProof/>
            <w:szCs w:val="24"/>
            <w:lang w:val="en-GB"/>
          </w:rPr>
          <w:t>6</w:t>
        </w:r>
      </w:hyperlink>
      <w:r w:rsidRPr="008A6967">
        <w:rPr>
          <w:rFonts w:cs="Arial"/>
          <w:noProof/>
          <w:szCs w:val="24"/>
          <w:lang w:val="en-GB"/>
        </w:rPr>
        <w:t>]</w:t>
      </w:r>
      <w:r w:rsidRPr="008A6967">
        <w:rPr>
          <w:rFonts w:cs="Arial"/>
          <w:szCs w:val="24"/>
          <w:lang w:val="en-GB"/>
        </w:rPr>
        <w:fldChar w:fldCharType="end"/>
      </w:r>
      <w:r w:rsidRPr="008A6967">
        <w:rPr>
          <w:rFonts w:cs="Arial"/>
          <w:szCs w:val="24"/>
          <w:lang w:val="en-GB"/>
        </w:rPr>
        <w:t xml:space="preserve"> </w:t>
      </w:r>
      <w:r w:rsidRPr="008A6967">
        <w:rPr>
          <w:rStyle w:val="ZchnZchn1"/>
          <w:rFonts w:cs="Arial"/>
          <w:b w:val="0"/>
          <w:bCs/>
          <w:color w:val="000000"/>
          <w:szCs w:val="24"/>
          <w:lang w:val="en-GB"/>
        </w:rPr>
        <w:t>we defined i</w:t>
      </w:r>
      <w:r w:rsidRPr="008A6967">
        <w:rPr>
          <w:rFonts w:cs="Arial"/>
          <w:szCs w:val="24"/>
          <w:lang w:val="en-GB"/>
        </w:rPr>
        <w:t xml:space="preserve">mmunologic failure as any of: a decline in the CD4 cell count to the baseline value or below, a decline of at least 50% from the peak value on treatment or a persistent CD4 cell count below 100 cells/µl after six months of antiretroviral therapy. </w:t>
      </w:r>
      <w:proofErr w:type="spellStart"/>
      <w:r w:rsidRPr="008A6967">
        <w:rPr>
          <w:rFonts w:cs="Arial"/>
          <w:color w:val="000000"/>
          <w:szCs w:val="24"/>
          <w:lang w:val="en-GB"/>
        </w:rPr>
        <w:t>Virologic</w:t>
      </w:r>
      <w:proofErr w:type="spellEnd"/>
      <w:r w:rsidRPr="008A6967">
        <w:rPr>
          <w:rFonts w:cs="Arial"/>
          <w:szCs w:val="24"/>
          <w:lang w:val="en-GB"/>
        </w:rPr>
        <w:t xml:space="preserve"> failure was defined as a plasma HIV viral load value </w:t>
      </w:r>
      <w:proofErr w:type="gramStart"/>
      <w:r w:rsidRPr="008A6967">
        <w:rPr>
          <w:rFonts w:cs="Arial"/>
          <w:szCs w:val="24"/>
          <w:lang w:val="en-GB"/>
        </w:rPr>
        <w:t>above 1,000 copies/ml</w:t>
      </w:r>
      <w:proofErr w:type="gramEnd"/>
      <w:r w:rsidRPr="008A6967">
        <w:rPr>
          <w:rFonts w:cs="Arial"/>
          <w:szCs w:val="24"/>
          <w:lang w:val="en-GB"/>
        </w:rPr>
        <w:t xml:space="preserve">. For both immunologic and </w:t>
      </w:r>
      <w:proofErr w:type="spellStart"/>
      <w:r w:rsidRPr="008A6967">
        <w:rPr>
          <w:rFonts w:cs="Arial"/>
          <w:szCs w:val="24"/>
          <w:lang w:val="en-GB"/>
        </w:rPr>
        <w:t>virologic</w:t>
      </w:r>
      <w:proofErr w:type="spellEnd"/>
      <w:r w:rsidRPr="008A6967">
        <w:rPr>
          <w:rFonts w:cs="Arial"/>
          <w:szCs w:val="24"/>
          <w:lang w:val="en-GB"/>
        </w:rPr>
        <w:t xml:space="preserve"> failure we required two consecutive values within 12 months of each other meeting the criteria. A switch to a second-line ART regimen was defined as a change from the initial regimen to a protease inhibitor (PI)-based regimen after at least six months of follow-up with a simultaneous change in at least one nucleoside reverse transcriptase inhibitor (NRTI).</w:t>
      </w:r>
    </w:p>
    <w:p w:rsidR="008F67E2" w:rsidRPr="008A6967" w:rsidRDefault="008F67E2" w:rsidP="008F67E2">
      <w:pPr>
        <w:spacing w:line="480" w:lineRule="auto"/>
        <w:rPr>
          <w:lang w:val="en-GB"/>
        </w:rPr>
      </w:pPr>
      <w:r w:rsidRPr="008A6967">
        <w:rPr>
          <w:lang w:val="en-GB"/>
        </w:rPr>
        <w:t xml:space="preserve">Most parameters of the model were taken from analyses of the </w:t>
      </w:r>
      <w:proofErr w:type="spellStart"/>
      <w:r w:rsidRPr="008A6967">
        <w:rPr>
          <w:lang w:val="en-GB"/>
        </w:rPr>
        <w:t>Gugulethu</w:t>
      </w:r>
      <w:proofErr w:type="spellEnd"/>
      <w:r w:rsidRPr="008A6967">
        <w:rPr>
          <w:lang w:val="en-GB"/>
        </w:rPr>
        <w:t xml:space="preserve"> and </w:t>
      </w:r>
      <w:proofErr w:type="spellStart"/>
      <w:r w:rsidRPr="008A6967">
        <w:rPr>
          <w:lang w:val="en-GB"/>
        </w:rPr>
        <w:t>Khayelitsha</w:t>
      </w:r>
      <w:proofErr w:type="spellEnd"/>
      <w:r w:rsidRPr="008A6967">
        <w:rPr>
          <w:lang w:val="en-GB"/>
        </w:rPr>
        <w:t xml:space="preserve"> data which we had conducted and published previously for another modelling study </w:t>
      </w:r>
      <w:r w:rsidRPr="008A6967">
        <w:rPr>
          <w:lang w:val="en-GB"/>
        </w:rPr>
        <w:fldChar w:fldCharType="begin"/>
      </w:r>
      <w:r w:rsidRPr="008A6967">
        <w:rPr>
          <w:lang w:val="en-GB"/>
        </w:rPr>
        <w:instrText xml:space="preserve"> ADDIN EN.CITE &lt;EndNote&gt;&lt;Cite&gt;&lt;Author&gt;Estill&lt;/Author&gt;&lt;Year&gt;2012&lt;/Year&gt;&lt;RecNum&gt;1786&lt;/RecNum&gt;&lt;DisplayText&gt;[1]&lt;/DisplayText&gt;&lt;record&gt;&lt;rec-number&gt;1786&lt;/rec-number&gt;&lt;foreign-keys&gt;&lt;key app="EN" db-id="0vr0rx5r7d0fw7eavpcvvdsixvf2rze55ff5"&gt;1786&lt;/key&gt;&lt;/foreign-keys&gt;&lt;ref-type name="Journal Article"&gt;17&lt;/ref-type&gt;&lt;contributors&gt;&lt;authors&gt;&lt;author&gt;Estill, Janne&lt;/author&gt;&lt;author&gt;Aubriere, Cindy&lt;/author&gt;&lt;author&gt;Egger, Matthias&lt;/author&gt;&lt;author&gt;Johnson, Leigh&lt;/author&gt;&lt;author&gt;Wood, Robin&lt;/author&gt;&lt;author&gt;Garone, Daniela&lt;/author&gt;&lt;author&gt;Gsponer, Thomas&lt;/author&gt;&lt;author&gt;Wandeler, Gilles&lt;/author&gt;&lt;author&gt;Boulle, Andrew&lt;/author&gt;&lt;author&gt;Davies, Mary-Ann&lt;/author&gt;&lt;author&gt;Hallett, Tim&lt;/author&gt;&lt;author&gt;Keiser, Olivia&lt;/author&gt;&lt;/authors&gt;&lt;/contributors&gt;&lt;titles&gt;&lt;title&gt;Viral load monitoring of antiretroviral therapy, cohort viral load and HIV transmission in Southern Africa: A mathematical modelling analysis&lt;/title&gt;&lt;secondary-title&gt;AIDS&lt;/secondary-title&gt;&lt;/titles&gt;&lt;periodical&gt;&lt;full-title&gt;AIDS&lt;/full-title&gt;&lt;/periodical&gt;&lt;pages&gt;1403-1413&lt;/pages&gt;&lt;volume&gt;26&lt;/volume&gt;&lt;number&gt;11&lt;/number&gt;&lt;edition&gt;2012/03/20&lt;/edition&gt;&lt;section&gt;1403&lt;/section&gt;&lt;keywords&gt;&lt;keyword&gt;HIV transmission&lt;/keyword&gt;&lt;keyword&gt;mathematical model&lt;/keyword&gt;&lt;keyword&gt;second-line therapy&lt;/keyword&gt;&lt;keyword&gt;Southern Africa&lt;/keyword&gt;&lt;keyword&gt;test and treat&lt;/keyword&gt;&lt;keyword&gt;therapy failure&lt;/keyword&gt;&lt;keyword&gt;viral load monitoring&lt;/keyword&gt;&lt;keyword&gt;00002030-900000000-98956&lt;/keyword&gt;&lt;/keywords&gt;&lt;dates&gt;&lt;year&gt;2012&lt;/year&gt;&lt;pub-dates&gt;&lt;date&gt;2012/07/17&lt;/date&gt;&lt;/pub-dates&gt;&lt;/dates&gt;&lt;isbn&gt;0269-9370&lt;/isbn&gt;&lt;urls&gt;&lt;related-urls&gt;&lt;url&gt;http://journals.lww.com/aidsonline/Fulltext/publishahead/Viral_load_monitoring_of_antiretroviral_therapy,.98956.aspx&lt;/url&gt;&lt;/related-urls&gt;&lt;/urls&gt;&lt;electronic-resource-num&gt;10.1097/QAD.0b013e3283536988&lt;/electronic-resource-num&gt;&lt;/record&gt;&lt;/Cite&gt;&lt;/EndNote&gt;</w:instrText>
      </w:r>
      <w:r w:rsidRPr="008A6967">
        <w:rPr>
          <w:lang w:val="en-GB"/>
        </w:rPr>
        <w:fldChar w:fldCharType="separate"/>
      </w:r>
      <w:r w:rsidRPr="008A6967">
        <w:rPr>
          <w:noProof/>
          <w:lang w:val="en-GB"/>
        </w:rPr>
        <w:t>[</w:t>
      </w:r>
      <w:hyperlink w:anchor="_ENREF_1" w:tooltip="Estill, 2012 #1786" w:history="1">
        <w:r w:rsidRPr="008A6967">
          <w:rPr>
            <w:noProof/>
            <w:lang w:val="en-GB"/>
          </w:rPr>
          <w:t>1</w:t>
        </w:r>
      </w:hyperlink>
      <w:r w:rsidRPr="008A6967">
        <w:rPr>
          <w:noProof/>
          <w:lang w:val="en-GB"/>
        </w:rPr>
        <w:t>]</w:t>
      </w:r>
      <w:r w:rsidRPr="008A6967">
        <w:rPr>
          <w:lang w:val="en-GB"/>
        </w:rPr>
        <w:fldChar w:fldCharType="end"/>
      </w:r>
      <w:r w:rsidRPr="008A6967">
        <w:rPr>
          <w:lang w:val="en-GB"/>
        </w:rPr>
        <w:t xml:space="preserve">. The baseline characteristics of the patients in this dataset are given in </w:t>
      </w:r>
      <w:r w:rsidRPr="008A6967">
        <w:rPr>
          <w:u w:val="single"/>
          <w:lang w:val="en-GB"/>
        </w:rPr>
        <w:t>supplementary Table S1</w:t>
      </w:r>
      <w:r w:rsidRPr="008A6967">
        <w:rPr>
          <w:lang w:val="en-GB"/>
        </w:rPr>
        <w:t xml:space="preserve">. In addition we analysed data on 592 patients in </w:t>
      </w:r>
      <w:proofErr w:type="spellStart"/>
      <w:r w:rsidRPr="008A6967">
        <w:rPr>
          <w:lang w:val="en-GB"/>
        </w:rPr>
        <w:t>Gugulethu</w:t>
      </w:r>
      <w:proofErr w:type="spellEnd"/>
      <w:r w:rsidRPr="008A6967">
        <w:rPr>
          <w:lang w:val="en-GB"/>
        </w:rPr>
        <w:t xml:space="preserve"> and </w:t>
      </w:r>
      <w:proofErr w:type="spellStart"/>
      <w:r w:rsidRPr="008A6967">
        <w:rPr>
          <w:lang w:val="en-GB"/>
        </w:rPr>
        <w:t>Khayelitsha</w:t>
      </w:r>
      <w:proofErr w:type="spellEnd"/>
      <w:r w:rsidRPr="008A6967">
        <w:rPr>
          <w:lang w:val="en-GB"/>
        </w:rPr>
        <w:t xml:space="preserve"> who experienced </w:t>
      </w:r>
      <w:proofErr w:type="spellStart"/>
      <w:r w:rsidRPr="008A6967">
        <w:rPr>
          <w:lang w:val="en-GB"/>
        </w:rPr>
        <w:t>virologic</w:t>
      </w:r>
      <w:proofErr w:type="spellEnd"/>
      <w:r w:rsidRPr="008A6967">
        <w:rPr>
          <w:lang w:val="en-GB"/>
        </w:rPr>
        <w:t xml:space="preserve"> failure and 1,204 patients in CIDRZ who experienced immunologic failure and did not have a viral load measurement available to estimate the delay from meeting the relevant failure criteria until switching to second line ART. We found that in </w:t>
      </w:r>
      <w:proofErr w:type="spellStart"/>
      <w:r w:rsidRPr="008A6967">
        <w:rPr>
          <w:lang w:val="en-GB"/>
        </w:rPr>
        <w:t>Gugluethu</w:t>
      </w:r>
      <w:proofErr w:type="spellEnd"/>
      <w:r w:rsidRPr="008A6967">
        <w:rPr>
          <w:lang w:val="en-GB"/>
        </w:rPr>
        <w:t xml:space="preserve"> and </w:t>
      </w:r>
      <w:proofErr w:type="spellStart"/>
      <w:r w:rsidRPr="008A6967">
        <w:rPr>
          <w:lang w:val="en-GB"/>
        </w:rPr>
        <w:t>Khayelitsha</w:t>
      </w:r>
      <w:proofErr w:type="spellEnd"/>
      <w:r w:rsidRPr="008A6967">
        <w:rPr>
          <w:lang w:val="en-GB"/>
        </w:rPr>
        <w:t xml:space="preserve">, 53% of patients had switched one year after </w:t>
      </w:r>
      <w:proofErr w:type="spellStart"/>
      <w:r w:rsidRPr="008A6967">
        <w:rPr>
          <w:lang w:val="en-GB"/>
        </w:rPr>
        <w:t>virologic</w:t>
      </w:r>
      <w:proofErr w:type="spellEnd"/>
      <w:r w:rsidRPr="008A6967">
        <w:rPr>
          <w:lang w:val="en-GB"/>
        </w:rPr>
        <w:t xml:space="preserve"> failure, but that in CIDRZ only 6% of patients switched within one year after meeting the immunologic failure criteria.</w:t>
      </w:r>
    </w:p>
    <w:p w:rsidR="008F67E2" w:rsidRPr="008A6967" w:rsidRDefault="008F67E2" w:rsidP="008F67E2">
      <w:pPr>
        <w:spacing w:line="480" w:lineRule="auto"/>
        <w:rPr>
          <w:u w:val="single"/>
          <w:lang w:val="en-GB"/>
        </w:rPr>
      </w:pPr>
      <w:r w:rsidRPr="008A6967">
        <w:rPr>
          <w:u w:val="single"/>
          <w:lang w:val="en-GB"/>
        </w:rPr>
        <w:t>Comparison of the model outcomes and data</w:t>
      </w:r>
    </w:p>
    <w:p w:rsidR="008F67E2" w:rsidRDefault="008F67E2" w:rsidP="008F67E2">
      <w:pPr>
        <w:spacing w:line="480" w:lineRule="auto"/>
        <w:rPr>
          <w:lang w:val="en-GB"/>
        </w:rPr>
      </w:pPr>
      <w:r w:rsidRPr="008A6967">
        <w:rPr>
          <w:lang w:val="en-GB"/>
        </w:rPr>
        <w:t xml:space="preserve">To illustrate the fit of the model to the data, we run the model 100 times with six-monthly routine viral load monitoring and delayed switching, corresponding to the </w:t>
      </w:r>
      <w:r w:rsidRPr="008A6967">
        <w:rPr>
          <w:lang w:val="en-GB"/>
        </w:rPr>
        <w:lastRenderedPageBreak/>
        <w:t xml:space="preserve">monitoring strategy of the cohorts. We plotted the cumulative incidence of the following outcomes and the data analyses: observed (uncorrected) mortality, LTFU, </w:t>
      </w:r>
      <w:proofErr w:type="spellStart"/>
      <w:r w:rsidRPr="008A6967">
        <w:rPr>
          <w:lang w:val="en-GB"/>
        </w:rPr>
        <w:t>virologic</w:t>
      </w:r>
      <w:proofErr w:type="spellEnd"/>
      <w:r w:rsidRPr="008A6967">
        <w:rPr>
          <w:lang w:val="en-GB"/>
        </w:rPr>
        <w:t xml:space="preserve"> failure, immunologic failure and switching over time (</w:t>
      </w:r>
      <w:r w:rsidRPr="008A6967">
        <w:rPr>
          <w:u w:val="single"/>
          <w:lang w:val="en-GB"/>
        </w:rPr>
        <w:t>supplementary Figure S2</w:t>
      </w:r>
      <w:r w:rsidRPr="008A6967">
        <w:rPr>
          <w:lang w:val="en-GB"/>
        </w:rPr>
        <w:t xml:space="preserve">). </w:t>
      </w:r>
      <w:bookmarkStart w:id="0" w:name="_GoBack"/>
      <w:bookmarkEnd w:id="0"/>
      <w:r w:rsidRPr="008A6967">
        <w:rPr>
          <w:lang w:val="en-GB"/>
        </w:rPr>
        <w:t xml:space="preserve">Modelled mortality and LTFU fitted the data well. </w:t>
      </w:r>
      <w:proofErr w:type="spellStart"/>
      <w:r w:rsidRPr="008A6967">
        <w:rPr>
          <w:lang w:val="en-GB"/>
        </w:rPr>
        <w:t>Virologic</w:t>
      </w:r>
      <w:proofErr w:type="spellEnd"/>
      <w:r w:rsidRPr="008A6967">
        <w:rPr>
          <w:lang w:val="en-GB"/>
        </w:rPr>
        <w:t xml:space="preserve"> failure rates were slightly overestimated by the model, which also led to a slight overestimation of the immunologic failure rates. However, since in the data many patients switched before meeting the failure definition, the failure rates of the model and data are not directly comparable.</w:t>
      </w:r>
    </w:p>
    <w:p w:rsidR="008F67E2" w:rsidRDefault="008F67E2">
      <w:pPr>
        <w:rPr>
          <w:lang w:val="en-GB"/>
        </w:rPr>
      </w:pPr>
      <w:r>
        <w:rPr>
          <w:lang w:val="en-GB"/>
        </w:rPr>
        <w:br w:type="page"/>
      </w:r>
    </w:p>
    <w:p w:rsidR="008F67E2" w:rsidRPr="008A6967" w:rsidRDefault="008F67E2" w:rsidP="008F67E2">
      <w:pPr>
        <w:spacing w:after="0"/>
        <w:jc w:val="center"/>
        <w:rPr>
          <w:rFonts w:cs="Arial"/>
          <w:noProof/>
          <w:lang w:val="en-US"/>
        </w:rPr>
      </w:pPr>
      <w:r w:rsidRPr="008A6967">
        <w:rPr>
          <w:lang w:val="en-US"/>
        </w:rPr>
        <w:lastRenderedPageBreak/>
        <w:fldChar w:fldCharType="begin"/>
      </w:r>
      <w:r w:rsidRPr="008A6967">
        <w:rPr>
          <w:lang w:val="en-US"/>
        </w:rPr>
        <w:instrText xml:space="preserve"> ADDIN EN.REFLIST </w:instrText>
      </w:r>
      <w:r w:rsidRPr="008A6967">
        <w:rPr>
          <w:lang w:val="en-US"/>
        </w:rPr>
        <w:fldChar w:fldCharType="separate"/>
      </w:r>
      <w:r w:rsidRPr="008A6967">
        <w:rPr>
          <w:rFonts w:cs="Arial"/>
          <w:noProof/>
          <w:lang w:val="en-US"/>
        </w:rPr>
        <w:t>References</w:t>
      </w:r>
    </w:p>
    <w:p w:rsidR="008F67E2" w:rsidRPr="008A6967" w:rsidRDefault="008F67E2" w:rsidP="008F67E2">
      <w:pPr>
        <w:spacing w:after="0"/>
        <w:jc w:val="center"/>
        <w:rPr>
          <w:rFonts w:cs="Arial"/>
          <w:noProof/>
          <w:lang w:val="en-US"/>
        </w:rPr>
      </w:pPr>
    </w:p>
    <w:p w:rsidR="008F67E2" w:rsidRPr="008A6967" w:rsidRDefault="008F67E2" w:rsidP="008F67E2">
      <w:pPr>
        <w:spacing w:after="0" w:line="240" w:lineRule="auto"/>
        <w:ind w:left="720" w:hanging="720"/>
        <w:rPr>
          <w:rFonts w:cs="Arial"/>
          <w:noProof/>
          <w:lang w:val="en-US"/>
        </w:rPr>
      </w:pPr>
      <w:bookmarkStart w:id="1" w:name="_ENREF_1"/>
      <w:r w:rsidRPr="008A6967">
        <w:rPr>
          <w:rFonts w:cs="Arial"/>
          <w:noProof/>
          <w:lang w:val="en-US"/>
        </w:rPr>
        <w:t>1.</w:t>
      </w:r>
      <w:r w:rsidRPr="008A6967">
        <w:rPr>
          <w:rFonts w:cs="Arial"/>
          <w:noProof/>
          <w:lang w:val="en-US"/>
        </w:rPr>
        <w:tab/>
        <w:t>Estill J, Aubri</w:t>
      </w:r>
      <w:r>
        <w:rPr>
          <w:rFonts w:cs="Arial"/>
          <w:noProof/>
          <w:lang w:val="en-US"/>
        </w:rPr>
        <w:t>è</w:t>
      </w:r>
      <w:r w:rsidRPr="008A6967">
        <w:rPr>
          <w:rFonts w:cs="Arial"/>
          <w:noProof/>
          <w:lang w:val="en-US"/>
        </w:rPr>
        <w:t>re C, Egger M, Johnson L, Wood R,</w:t>
      </w:r>
      <w:r w:rsidRPr="003B121E">
        <w:rPr>
          <w:rFonts w:cs="Arial"/>
          <w:noProof/>
          <w:lang w:val="en-US"/>
        </w:rPr>
        <w:t xml:space="preserve"> et al.</w:t>
      </w:r>
      <w:r>
        <w:rPr>
          <w:rFonts w:cs="Arial"/>
          <w:noProof/>
          <w:lang w:val="en-US"/>
        </w:rPr>
        <w:t xml:space="preserve"> (2012)</w:t>
      </w:r>
      <w:r w:rsidRPr="008A6967">
        <w:rPr>
          <w:rFonts w:cs="Arial"/>
          <w:noProof/>
          <w:lang w:val="en-US"/>
        </w:rPr>
        <w:t xml:space="preserve"> Viral load monitoring of antiretroviral therapy, cohort viral load and HIV transmission in Southern Africa: A mathematical modelling analysis. </w:t>
      </w:r>
      <w:r w:rsidRPr="003B121E">
        <w:rPr>
          <w:rFonts w:cs="Arial"/>
          <w:noProof/>
          <w:lang w:val="en-US"/>
        </w:rPr>
        <w:t>AIDS</w:t>
      </w:r>
      <w:r w:rsidRPr="008A6967">
        <w:rPr>
          <w:rFonts w:cs="Arial"/>
          <w:i/>
          <w:noProof/>
          <w:lang w:val="en-US"/>
        </w:rPr>
        <w:t xml:space="preserve"> </w:t>
      </w:r>
      <w:r w:rsidRPr="003B121E">
        <w:rPr>
          <w:rFonts w:cs="Arial"/>
          <w:noProof/>
          <w:lang w:val="en-US"/>
        </w:rPr>
        <w:t>26</w:t>
      </w:r>
      <w:r w:rsidRPr="008A6967">
        <w:rPr>
          <w:rFonts w:cs="Arial"/>
          <w:noProof/>
          <w:lang w:val="en-US"/>
        </w:rPr>
        <w:t>:</w:t>
      </w:r>
      <w:r>
        <w:rPr>
          <w:rFonts w:cs="Arial"/>
          <w:noProof/>
          <w:lang w:val="en-US"/>
        </w:rPr>
        <w:t xml:space="preserve"> </w:t>
      </w:r>
      <w:r w:rsidRPr="008A6967">
        <w:rPr>
          <w:rFonts w:cs="Arial"/>
          <w:noProof/>
          <w:lang w:val="en-US"/>
        </w:rPr>
        <w:t>1403-1413.</w:t>
      </w:r>
      <w:bookmarkEnd w:id="1"/>
    </w:p>
    <w:p w:rsidR="008F67E2" w:rsidRPr="008A6967" w:rsidRDefault="008F67E2" w:rsidP="008F67E2">
      <w:pPr>
        <w:spacing w:after="0" w:line="240" w:lineRule="auto"/>
        <w:ind w:left="720" w:hanging="720"/>
        <w:rPr>
          <w:rFonts w:cs="Arial"/>
          <w:noProof/>
        </w:rPr>
      </w:pPr>
      <w:bookmarkStart w:id="2" w:name="_ENREF_2"/>
      <w:r w:rsidRPr="008A6967">
        <w:rPr>
          <w:rFonts w:cs="Arial"/>
          <w:noProof/>
          <w:lang w:val="en-US"/>
        </w:rPr>
        <w:t>2.</w:t>
      </w:r>
      <w:r w:rsidRPr="008A6967">
        <w:rPr>
          <w:rFonts w:cs="Arial"/>
          <w:noProof/>
          <w:lang w:val="en-US"/>
        </w:rPr>
        <w:tab/>
        <w:t>Brinkhof M</w:t>
      </w:r>
      <w:r>
        <w:rPr>
          <w:rFonts w:cs="Arial"/>
          <w:noProof/>
          <w:lang w:val="en-US"/>
        </w:rPr>
        <w:t>W, Pujades-Rodriguez M, Egger M (2009)</w:t>
      </w:r>
      <w:r w:rsidRPr="008A6967">
        <w:rPr>
          <w:rFonts w:cs="Arial"/>
          <w:noProof/>
          <w:lang w:val="en-US"/>
        </w:rPr>
        <w:t xml:space="preserve"> Mortality of patients lost to follow-up in antiretroviral treatment programmes in resource-limited settings: systematic review and meta-analysis. </w:t>
      </w:r>
      <w:r w:rsidRPr="003B121E">
        <w:rPr>
          <w:rFonts w:cs="Arial"/>
          <w:noProof/>
        </w:rPr>
        <w:t>PLoS One</w:t>
      </w:r>
      <w:r w:rsidRPr="008A6967">
        <w:rPr>
          <w:rFonts w:cs="Arial"/>
          <w:i/>
          <w:noProof/>
        </w:rPr>
        <w:t xml:space="preserve"> </w:t>
      </w:r>
      <w:r w:rsidRPr="003B121E">
        <w:rPr>
          <w:rFonts w:cs="Arial"/>
          <w:noProof/>
        </w:rPr>
        <w:t>4</w:t>
      </w:r>
      <w:r w:rsidRPr="008A6967">
        <w:rPr>
          <w:rFonts w:cs="Arial"/>
          <w:noProof/>
        </w:rPr>
        <w:t>:</w:t>
      </w:r>
      <w:r>
        <w:rPr>
          <w:rFonts w:cs="Arial"/>
          <w:noProof/>
        </w:rPr>
        <w:t xml:space="preserve"> </w:t>
      </w:r>
      <w:r w:rsidRPr="008A6967">
        <w:rPr>
          <w:rFonts w:cs="Arial"/>
          <w:noProof/>
        </w:rPr>
        <w:t>e5790.</w:t>
      </w:r>
      <w:bookmarkEnd w:id="2"/>
    </w:p>
    <w:p w:rsidR="008F67E2" w:rsidRPr="008A6967" w:rsidRDefault="008F67E2" w:rsidP="008F67E2">
      <w:pPr>
        <w:spacing w:after="0" w:line="240" w:lineRule="auto"/>
        <w:ind w:left="720" w:hanging="720"/>
        <w:rPr>
          <w:rFonts w:cs="Arial"/>
          <w:noProof/>
          <w:lang w:val="en-US"/>
        </w:rPr>
      </w:pPr>
      <w:bookmarkStart w:id="3" w:name="_ENREF_3"/>
      <w:r w:rsidRPr="008A6967">
        <w:rPr>
          <w:rFonts w:cs="Arial"/>
          <w:noProof/>
        </w:rPr>
        <w:t>3.</w:t>
      </w:r>
      <w:r w:rsidRPr="008A6967">
        <w:rPr>
          <w:rFonts w:cs="Arial"/>
          <w:noProof/>
        </w:rPr>
        <w:tab/>
        <w:t xml:space="preserve">Egger M, Spycher BD, Sidle J, Weigel R, Geng E, </w:t>
      </w:r>
      <w:r w:rsidRPr="003B121E">
        <w:rPr>
          <w:rFonts w:cs="Arial"/>
          <w:noProof/>
        </w:rPr>
        <w:t>et al.</w:t>
      </w:r>
      <w:r>
        <w:rPr>
          <w:rFonts w:cs="Arial"/>
          <w:noProof/>
        </w:rPr>
        <w:t xml:space="preserve"> </w:t>
      </w:r>
      <w:r w:rsidRPr="003B121E">
        <w:rPr>
          <w:rFonts w:cs="Arial"/>
          <w:noProof/>
          <w:lang w:val="en-GB"/>
        </w:rPr>
        <w:t>(</w:t>
      </w:r>
      <w:r>
        <w:rPr>
          <w:rFonts w:cs="Arial"/>
          <w:noProof/>
          <w:lang w:val="en-GB"/>
        </w:rPr>
        <w:t>2011</w:t>
      </w:r>
      <w:r w:rsidRPr="003B121E">
        <w:rPr>
          <w:rFonts w:cs="Arial"/>
          <w:noProof/>
          <w:lang w:val="en-GB"/>
        </w:rPr>
        <w:t xml:space="preserve">) </w:t>
      </w:r>
      <w:r w:rsidRPr="008A6967">
        <w:rPr>
          <w:rFonts w:cs="Arial"/>
          <w:noProof/>
          <w:lang w:val="en-US"/>
        </w:rPr>
        <w:t>Correcting mortality for loss to follow up: A nomogram applied to antiretroviral treatment pro</w:t>
      </w:r>
      <w:r>
        <w:rPr>
          <w:rFonts w:cs="Arial"/>
          <w:noProof/>
          <w:lang w:val="en-US"/>
        </w:rPr>
        <w:t>grammes in sub-Saharan Africa.</w:t>
      </w:r>
      <w:r w:rsidRPr="008A6967">
        <w:rPr>
          <w:rFonts w:cs="Arial"/>
          <w:noProof/>
          <w:lang w:val="en-US"/>
        </w:rPr>
        <w:t xml:space="preserve"> </w:t>
      </w:r>
      <w:r w:rsidRPr="003B121E">
        <w:rPr>
          <w:rFonts w:cs="Arial"/>
          <w:noProof/>
          <w:lang w:val="en-US"/>
        </w:rPr>
        <w:t>PLoS Med</w:t>
      </w:r>
      <w:r w:rsidRPr="008A6967">
        <w:rPr>
          <w:rFonts w:cs="Arial"/>
          <w:i/>
          <w:noProof/>
          <w:lang w:val="en-US"/>
        </w:rPr>
        <w:t xml:space="preserve"> </w:t>
      </w:r>
      <w:r w:rsidRPr="003B121E">
        <w:rPr>
          <w:rFonts w:cs="Arial"/>
          <w:noProof/>
          <w:lang w:val="en-US"/>
        </w:rPr>
        <w:t>8</w:t>
      </w:r>
      <w:r w:rsidRPr="008A6967">
        <w:rPr>
          <w:rFonts w:cs="Arial"/>
          <w:noProof/>
          <w:lang w:val="en-US"/>
        </w:rPr>
        <w:t>:</w:t>
      </w:r>
      <w:r>
        <w:rPr>
          <w:rFonts w:cs="Arial"/>
          <w:noProof/>
          <w:lang w:val="en-US"/>
        </w:rPr>
        <w:t xml:space="preserve"> </w:t>
      </w:r>
      <w:r w:rsidRPr="008A6967">
        <w:rPr>
          <w:rFonts w:cs="Arial"/>
          <w:noProof/>
          <w:lang w:val="en-US"/>
        </w:rPr>
        <w:t>e1000390.</w:t>
      </w:r>
      <w:bookmarkEnd w:id="3"/>
    </w:p>
    <w:p w:rsidR="008F67E2" w:rsidRPr="008A6967" w:rsidRDefault="008F67E2" w:rsidP="008F67E2">
      <w:pPr>
        <w:spacing w:after="0" w:line="240" w:lineRule="auto"/>
        <w:ind w:left="720" w:hanging="720"/>
        <w:rPr>
          <w:rFonts w:cs="Arial"/>
          <w:noProof/>
          <w:lang w:val="en-US"/>
        </w:rPr>
      </w:pPr>
      <w:bookmarkStart w:id="4" w:name="_ENREF_4"/>
      <w:r w:rsidRPr="008A6967">
        <w:rPr>
          <w:rFonts w:cs="Arial"/>
          <w:noProof/>
          <w:lang w:val="en-US"/>
        </w:rPr>
        <w:t>4.</w:t>
      </w:r>
      <w:r w:rsidRPr="008A6967">
        <w:rPr>
          <w:rFonts w:cs="Arial"/>
          <w:noProof/>
          <w:lang w:val="en-US"/>
        </w:rPr>
        <w:tab/>
        <w:t xml:space="preserve">Egger M, Ekouevi DK, Williams C, Lyamuya RE, Mukumbi H, </w:t>
      </w:r>
      <w:r w:rsidRPr="003B121E">
        <w:rPr>
          <w:rFonts w:cs="Arial"/>
          <w:noProof/>
          <w:lang w:val="en-US"/>
        </w:rPr>
        <w:t>et al</w:t>
      </w:r>
      <w:r w:rsidRPr="008A6967">
        <w:rPr>
          <w:rFonts w:cs="Arial"/>
          <w:i/>
          <w:noProof/>
          <w:lang w:val="en-US"/>
        </w:rPr>
        <w:t>.</w:t>
      </w:r>
      <w:r>
        <w:rPr>
          <w:rFonts w:cs="Arial"/>
          <w:noProof/>
          <w:lang w:val="en-US"/>
        </w:rPr>
        <w:t xml:space="preserve"> (2012)</w:t>
      </w:r>
      <w:r w:rsidRPr="008A6967">
        <w:rPr>
          <w:rFonts w:cs="Arial"/>
          <w:noProof/>
          <w:lang w:val="en-US"/>
        </w:rPr>
        <w:t xml:space="preserve"> Cohort Profile: The international epidemiological databases to evaluate AIDS (IeDEA) in sub-Saharan Africa. </w:t>
      </w:r>
      <w:r w:rsidRPr="003B121E">
        <w:rPr>
          <w:rFonts w:cs="Arial"/>
          <w:noProof/>
          <w:lang w:val="en-US"/>
        </w:rPr>
        <w:t>Int J Epidemiol 41:</w:t>
      </w:r>
      <w:r>
        <w:rPr>
          <w:rFonts w:cs="Arial"/>
          <w:noProof/>
          <w:lang w:val="en-US"/>
        </w:rPr>
        <w:t xml:space="preserve"> </w:t>
      </w:r>
      <w:r w:rsidRPr="008A6967">
        <w:rPr>
          <w:rFonts w:cs="Arial"/>
          <w:noProof/>
          <w:lang w:val="en-US"/>
        </w:rPr>
        <w:t>1256-1264.</w:t>
      </w:r>
      <w:bookmarkEnd w:id="4"/>
    </w:p>
    <w:p w:rsidR="008F67E2" w:rsidRPr="008A6967" w:rsidRDefault="008F67E2" w:rsidP="008F67E2">
      <w:pPr>
        <w:spacing w:after="0" w:line="240" w:lineRule="auto"/>
        <w:ind w:left="720" w:hanging="720"/>
        <w:rPr>
          <w:rFonts w:cs="Arial"/>
          <w:noProof/>
          <w:lang w:val="en-US"/>
        </w:rPr>
      </w:pPr>
      <w:bookmarkStart w:id="5" w:name="_ENREF_5"/>
      <w:r w:rsidRPr="008A6967">
        <w:rPr>
          <w:rFonts w:cs="Arial"/>
          <w:noProof/>
          <w:lang w:val="en-US"/>
        </w:rPr>
        <w:t>5.</w:t>
      </w:r>
      <w:r w:rsidRPr="008A6967">
        <w:rPr>
          <w:rFonts w:cs="Arial"/>
          <w:noProof/>
          <w:lang w:val="en-US"/>
        </w:rPr>
        <w:tab/>
        <w:t xml:space="preserve">Keiser O, Chi BH, Gsponer T, Boulle A, Orrell C, </w:t>
      </w:r>
      <w:r w:rsidRPr="003B121E">
        <w:rPr>
          <w:rFonts w:cs="Arial"/>
          <w:noProof/>
          <w:lang w:val="en-US"/>
        </w:rPr>
        <w:t xml:space="preserve">et al. </w:t>
      </w:r>
      <w:r>
        <w:rPr>
          <w:rFonts w:cs="Arial"/>
          <w:noProof/>
          <w:lang w:val="en-US"/>
        </w:rPr>
        <w:t xml:space="preserve">(2011) </w:t>
      </w:r>
      <w:r w:rsidRPr="008A6967">
        <w:rPr>
          <w:rFonts w:cs="Arial"/>
          <w:noProof/>
          <w:lang w:val="en-US"/>
        </w:rPr>
        <w:t xml:space="preserve">Outcomes of antiretroviral treatment in programmes with and without routine viral load monitoring in Southern Africa. </w:t>
      </w:r>
      <w:r w:rsidRPr="003B121E">
        <w:rPr>
          <w:rFonts w:cs="Arial"/>
          <w:noProof/>
          <w:lang w:val="en-US"/>
        </w:rPr>
        <w:t>AIDS 25</w:t>
      </w:r>
      <w:r w:rsidRPr="008A6967">
        <w:rPr>
          <w:rFonts w:cs="Arial"/>
          <w:noProof/>
          <w:lang w:val="en-US"/>
        </w:rPr>
        <w:t>:</w:t>
      </w:r>
      <w:r>
        <w:rPr>
          <w:rFonts w:cs="Arial"/>
          <w:noProof/>
          <w:lang w:val="en-US"/>
        </w:rPr>
        <w:t xml:space="preserve"> </w:t>
      </w:r>
      <w:r w:rsidRPr="008A6967">
        <w:rPr>
          <w:rFonts w:cs="Arial"/>
          <w:noProof/>
          <w:lang w:val="en-US"/>
        </w:rPr>
        <w:t>1761-1769.</w:t>
      </w:r>
      <w:bookmarkEnd w:id="5"/>
    </w:p>
    <w:p w:rsidR="008F67E2" w:rsidRPr="008A6967" w:rsidRDefault="008F67E2" w:rsidP="008F67E2">
      <w:pPr>
        <w:spacing w:after="0" w:line="240" w:lineRule="auto"/>
        <w:ind w:left="720" w:hanging="720"/>
        <w:rPr>
          <w:rFonts w:cs="Arial"/>
          <w:noProof/>
          <w:lang w:val="en-US"/>
        </w:rPr>
      </w:pPr>
      <w:bookmarkStart w:id="6" w:name="_ENREF_6"/>
      <w:r w:rsidRPr="008A6967">
        <w:rPr>
          <w:rFonts w:cs="Arial"/>
          <w:noProof/>
          <w:lang w:val="en-US"/>
        </w:rPr>
        <w:t>6.</w:t>
      </w:r>
      <w:r w:rsidRPr="008A6967">
        <w:rPr>
          <w:rFonts w:cs="Arial"/>
          <w:noProof/>
          <w:lang w:val="en-US"/>
        </w:rPr>
        <w:tab/>
        <w:t>World Health Organisation</w:t>
      </w:r>
      <w:r>
        <w:rPr>
          <w:rFonts w:cs="Arial"/>
          <w:noProof/>
          <w:lang w:val="en-US"/>
        </w:rPr>
        <w:t xml:space="preserve"> (2006)</w:t>
      </w:r>
      <w:r w:rsidRPr="008A6967">
        <w:rPr>
          <w:rFonts w:cs="Arial"/>
          <w:noProof/>
          <w:lang w:val="en-US"/>
        </w:rPr>
        <w:t xml:space="preserve"> Antiretroviral therapy for HIV Infection in adults and adolescents in resource-limited settings: towards universal access. Recommendations for a public health approach. Available: </w:t>
      </w:r>
      <w:hyperlink r:id="rId7" w:history="1">
        <w:r w:rsidRPr="003B121E">
          <w:rPr>
            <w:rStyle w:val="Hyperlink"/>
            <w:rFonts w:cs="Arial"/>
            <w:noProof/>
            <w:lang w:val="en-US"/>
          </w:rPr>
          <w:t>http://www.who.int/hiv/pub/guidelines/artadultguidelines.pdf</w:t>
        </w:r>
      </w:hyperlink>
      <w:r>
        <w:rPr>
          <w:rFonts w:cs="Arial"/>
          <w:noProof/>
          <w:lang w:val="en-US"/>
        </w:rPr>
        <w:t xml:space="preserve">. </w:t>
      </w:r>
      <w:r w:rsidRPr="008A6967">
        <w:rPr>
          <w:rFonts w:cs="Arial"/>
          <w:noProof/>
          <w:lang w:val="en-US"/>
        </w:rPr>
        <w:t>Accessed</w:t>
      </w:r>
      <w:r>
        <w:rPr>
          <w:rFonts w:cs="Arial"/>
          <w:noProof/>
          <w:lang w:val="en-US"/>
        </w:rPr>
        <w:t xml:space="preserve"> 28 January</w:t>
      </w:r>
      <w:r w:rsidRPr="008A6967">
        <w:rPr>
          <w:rFonts w:cs="Arial"/>
          <w:noProof/>
          <w:lang w:val="en-US"/>
        </w:rPr>
        <w:t xml:space="preserve"> 201</w:t>
      </w:r>
      <w:r>
        <w:rPr>
          <w:rFonts w:cs="Arial"/>
          <w:noProof/>
          <w:lang w:val="en-US"/>
        </w:rPr>
        <w:t>3</w:t>
      </w:r>
      <w:r w:rsidRPr="008A6967">
        <w:rPr>
          <w:rFonts w:cs="Arial"/>
          <w:noProof/>
          <w:lang w:val="en-US"/>
        </w:rPr>
        <w:t>.</w:t>
      </w:r>
      <w:bookmarkEnd w:id="6"/>
    </w:p>
    <w:p w:rsidR="008F67E2" w:rsidRPr="008A6967" w:rsidRDefault="008F67E2" w:rsidP="008F67E2">
      <w:pPr>
        <w:spacing w:after="0" w:line="240" w:lineRule="auto"/>
        <w:rPr>
          <w:rFonts w:cs="Arial"/>
          <w:noProof/>
          <w:lang w:val="en-US"/>
        </w:rPr>
      </w:pPr>
    </w:p>
    <w:p w:rsidR="008F67E2" w:rsidRPr="004B4A0D" w:rsidRDefault="008F67E2" w:rsidP="008F67E2">
      <w:pPr>
        <w:spacing w:line="480" w:lineRule="auto"/>
        <w:rPr>
          <w:lang w:val="en-US"/>
        </w:rPr>
      </w:pPr>
      <w:r w:rsidRPr="008A6967">
        <w:rPr>
          <w:lang w:val="en-US"/>
        </w:rPr>
        <w:fldChar w:fldCharType="end"/>
      </w:r>
    </w:p>
    <w:p w:rsidR="007F6D8F" w:rsidRPr="008F67E2" w:rsidRDefault="007F6D8F" w:rsidP="008F67E2">
      <w:pPr>
        <w:spacing w:line="480" w:lineRule="auto"/>
        <w:rPr>
          <w:lang w:val="en-GB"/>
        </w:rPr>
      </w:pPr>
    </w:p>
    <w:sectPr w:rsidR="007F6D8F" w:rsidRPr="008F67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B035F"/>
    <w:multiLevelType w:val="hybridMultilevel"/>
    <w:tmpl w:val="FCC850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E2"/>
    <w:rsid w:val="007F6D8F"/>
    <w:rsid w:val="00895B89"/>
    <w:rsid w:val="008F67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E2"/>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67E2"/>
    <w:rPr>
      <w:rFonts w:cs="Times New Roman"/>
      <w:color w:val="0000FF"/>
      <w:u w:val="single"/>
    </w:rPr>
  </w:style>
  <w:style w:type="character" w:customStyle="1" w:styleId="ZchnZchn1">
    <w:name w:val="Zchn Zchn1"/>
    <w:uiPriority w:val="99"/>
    <w:rsid w:val="008F67E2"/>
    <w:rPr>
      <w:rFonts w:ascii="Arial" w:hAnsi="Arial"/>
      <w:b/>
      <w:sz w:val="26"/>
      <w:lang w:val="fr-FR" w:eastAsia="fr-FR"/>
    </w:rPr>
  </w:style>
  <w:style w:type="paragraph" w:styleId="ListParagraph">
    <w:name w:val="List Paragraph"/>
    <w:basedOn w:val="Normal"/>
    <w:uiPriority w:val="34"/>
    <w:qFormat/>
    <w:rsid w:val="008F6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E2"/>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67E2"/>
    <w:rPr>
      <w:rFonts w:cs="Times New Roman"/>
      <w:color w:val="0000FF"/>
      <w:u w:val="single"/>
    </w:rPr>
  </w:style>
  <w:style w:type="character" w:customStyle="1" w:styleId="ZchnZchn1">
    <w:name w:val="Zchn Zchn1"/>
    <w:uiPriority w:val="99"/>
    <w:rsid w:val="008F67E2"/>
    <w:rPr>
      <w:rFonts w:ascii="Arial" w:hAnsi="Arial"/>
      <w:b/>
      <w:sz w:val="26"/>
      <w:lang w:val="fr-FR" w:eastAsia="fr-FR"/>
    </w:rPr>
  </w:style>
  <w:style w:type="paragraph" w:styleId="ListParagraph">
    <w:name w:val="List Paragraph"/>
    <w:basedOn w:val="Normal"/>
    <w:uiPriority w:val="34"/>
    <w:qFormat/>
    <w:rsid w:val="008F6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ho.int/hiv/pub/guidelines/artadult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dea-hiv.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2707</Words>
  <Characters>17055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jestill</dc:creator>
  <cp:lastModifiedBy>jestill</cp:lastModifiedBy>
  <cp:revision>2</cp:revision>
  <dcterms:created xsi:type="dcterms:W3CDTF">2013-02-01T10:09:00Z</dcterms:created>
  <dcterms:modified xsi:type="dcterms:W3CDTF">2013-02-01T10:09:00Z</dcterms:modified>
</cp:coreProperties>
</file>