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B" w:rsidRDefault="000D496B" w:rsidP="000D496B">
      <w:pPr>
        <w:jc w:val="both"/>
        <w:rPr>
          <w:b/>
        </w:rPr>
      </w:pPr>
      <w:r>
        <w:rPr>
          <w:b/>
        </w:rPr>
        <w:t>APPENDIX SIII</w:t>
      </w:r>
    </w:p>
    <w:p w:rsidR="000D496B" w:rsidRDefault="000D496B" w:rsidP="000D496B">
      <w:pPr>
        <w:spacing w:line="240" w:lineRule="auto"/>
        <w:jc w:val="both"/>
      </w:pPr>
      <w:r>
        <w:t xml:space="preserve">In brief, table S1 in Appendix SIII detects two significant changes for </w:t>
      </w:r>
      <w:proofErr w:type="spellStart"/>
      <w:r>
        <w:t>vSGA</w:t>
      </w:r>
      <w:proofErr w:type="spellEnd"/>
      <w:r>
        <w:t xml:space="preserve"> rates - first change at point 40 and the second one at point 64. However, on closer examination additional information suggests that 95% CI is wider for the first change at point 40 compared to that at point 64. In addition, point 64 showed significant changes </w:t>
      </w:r>
      <w:r w:rsidRPr="00214844">
        <w:t>with 100% confidence.</w:t>
      </w:r>
      <w:r>
        <w:t xml:space="preserve"> Therefore, point 64 is more likely to be the period when significant changes did occur for </w:t>
      </w:r>
      <w:proofErr w:type="spellStart"/>
      <w:r>
        <w:t>vSGA</w:t>
      </w:r>
      <w:proofErr w:type="spellEnd"/>
      <w:r>
        <w:t xml:space="preserve"> births.</w:t>
      </w:r>
      <w:r w:rsidRPr="00214844">
        <w:t xml:space="preserve"> </w:t>
      </w:r>
      <w:r>
        <w:t>Likewise, table S2 in Appendix III detects several significant changes for SGA rates. However, point 64 is again showing a significant change with 99% confidence, and more importantly, point 64 is a level 1 change suggesting that point 64 is the first significant change to be detected and is more visible. Taken together, it becomes clear that the change-point analyses for both the outcomes studied did detect significant changes just prior to point 64, which</w:t>
      </w:r>
      <w:r w:rsidRPr="00214844">
        <w:t xml:space="preserve"> </w:t>
      </w:r>
      <w:r>
        <w:t>corresponds to April 2004 - a month following</w:t>
      </w:r>
      <w:r w:rsidRPr="00214844">
        <w:t xml:space="preserve"> the actual </w:t>
      </w:r>
      <w:r>
        <w:t xml:space="preserve">introduction of the </w:t>
      </w:r>
      <w:r w:rsidRPr="00214844">
        <w:t>Iris</w:t>
      </w:r>
      <w:r>
        <w:t xml:space="preserve">h smoke-free legislation, namely, March 2004. Thus, SGA and </w:t>
      </w:r>
      <w:proofErr w:type="spellStart"/>
      <w:r>
        <w:t>vSGA</w:t>
      </w:r>
      <w:proofErr w:type="spellEnd"/>
      <w:r>
        <w:t xml:space="preserve"> births before month 64) were considered pre-ban period (January 1999-April 2004) births and those after month 64 were post-ban period (May 2004-December 2008) births in the present study.</w:t>
      </w: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spacing w:line="240" w:lineRule="auto"/>
        <w:jc w:val="both"/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lastRenderedPageBreak/>
        <w:t>Figure S1: A control chart showing changes to monthly vSGA rates (by month of birth) in the background using change-point analyses tool outputs</w:t>
      </w:r>
    </w:p>
    <w:p w:rsidR="000D496B" w:rsidRDefault="000D496B" w:rsidP="000D496B">
      <w:pPr>
        <w:jc w:val="both"/>
        <w:rPr>
          <w:b/>
          <w:noProof/>
          <w:lang w:eastAsia="en-IE"/>
        </w:rPr>
      </w:pPr>
      <w:r w:rsidRPr="00AD58E9">
        <w:rPr>
          <w:b/>
          <w:noProof/>
          <w:lang w:eastAsia="en-IE"/>
        </w:rPr>
        <w:drawing>
          <wp:inline distT="0" distB="0" distL="0" distR="0">
            <wp:extent cx="4890414" cy="2150668"/>
            <wp:effectExtent l="0" t="0" r="54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65" cy="215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t>Figure S2: A CUSUM chart  showing changes to monthly vSGA rates (by month of birth) in the background using change-point analyses tool outputs</w:t>
      </w:r>
    </w:p>
    <w:p w:rsidR="000D496B" w:rsidRDefault="000D496B" w:rsidP="000D496B">
      <w:pPr>
        <w:jc w:val="both"/>
        <w:rPr>
          <w:b/>
          <w:noProof/>
          <w:lang w:eastAsia="en-IE"/>
        </w:rPr>
      </w:pPr>
      <w:r w:rsidRPr="00AD58E9">
        <w:rPr>
          <w:b/>
          <w:noProof/>
          <w:lang w:eastAsia="en-IE"/>
        </w:rPr>
        <w:drawing>
          <wp:inline distT="0" distB="0" distL="0" distR="0">
            <wp:extent cx="5332781" cy="2435962"/>
            <wp:effectExtent l="0" t="0" r="1219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87" cy="243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t>Figure S3: A control chart showing changes to monthly vSGA rates (by month of conception) in the background using change-point analyses tool outputs</w:t>
      </w: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3357765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t>Figure S4: A CUSUM chart  showing changes to monthly vSGA rates (by month of conception) in the background using change-point analyses tool outputs</w:t>
      </w: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3286191"/>
            <wp:effectExtent l="19050" t="0" r="254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</w:rPr>
      </w:pPr>
      <w:r>
        <w:rPr>
          <w:b/>
          <w:noProof/>
          <w:lang w:eastAsia="en-IE"/>
        </w:rPr>
        <w:lastRenderedPageBreak/>
        <w:t xml:space="preserve">Table S1: Significant detection points and </w:t>
      </w:r>
      <w:r w:rsidRPr="00CB3D8E">
        <w:rPr>
          <w:b/>
          <w:noProof/>
          <w:lang w:eastAsia="en-IE"/>
        </w:rPr>
        <w:t>bootstrap simulations</w:t>
      </w:r>
      <w:r>
        <w:rPr>
          <w:b/>
          <w:noProof/>
          <w:lang w:eastAsia="en-IE"/>
        </w:rPr>
        <w:t xml:space="preserve"> for monthy vSGA rates (by month of birth) using change-point analyses tool outputs</w:t>
      </w:r>
    </w:p>
    <w:p w:rsidR="000D496B" w:rsidRDefault="000D496B" w:rsidP="000D496B">
      <w:pPr>
        <w:jc w:val="both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1902611"/>
            <wp:effectExtent l="19050" t="0" r="254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</w:p>
    <w:p w:rsidR="000D496B" w:rsidRDefault="000D496B" w:rsidP="000D496B">
      <w:pPr>
        <w:jc w:val="both"/>
        <w:rPr>
          <w:b/>
        </w:rPr>
      </w:pPr>
      <w:r>
        <w:rPr>
          <w:b/>
          <w:noProof/>
          <w:lang w:eastAsia="en-IE"/>
        </w:rPr>
        <w:t>Table S2: Significant detection points and bootstrap simulations for monthy SGA rates (by month of birth) using change-point analyses tool outputs</w:t>
      </w:r>
    </w:p>
    <w:p w:rsidR="000D496B" w:rsidRDefault="000D496B" w:rsidP="000D496B">
      <w:pPr>
        <w:jc w:val="both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2660680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lastRenderedPageBreak/>
        <w:t xml:space="preserve">Table S3: Significant detection points and </w:t>
      </w:r>
      <w:r w:rsidRPr="00CB3D8E">
        <w:rPr>
          <w:b/>
          <w:noProof/>
          <w:lang w:eastAsia="en-IE"/>
        </w:rPr>
        <w:t>bootstrap simulations</w:t>
      </w:r>
      <w:r>
        <w:rPr>
          <w:b/>
          <w:noProof/>
          <w:lang w:eastAsia="en-IE"/>
        </w:rPr>
        <w:t xml:space="preserve"> for monthy vSGA rates (by month of conception) using change-point analyses tool outputs</w:t>
      </w:r>
    </w:p>
    <w:p w:rsidR="000D496B" w:rsidRDefault="000D496B" w:rsidP="000D496B">
      <w:pPr>
        <w:jc w:val="both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1863589"/>
            <wp:effectExtent l="19050" t="0" r="254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t xml:space="preserve">Table S4: Significant detection points and </w:t>
      </w:r>
      <w:r w:rsidRPr="00CB3D8E">
        <w:rPr>
          <w:b/>
          <w:noProof/>
          <w:lang w:eastAsia="en-IE"/>
        </w:rPr>
        <w:t>bootstrap simulations</w:t>
      </w:r>
      <w:r>
        <w:rPr>
          <w:b/>
          <w:noProof/>
          <w:lang w:eastAsia="en-IE"/>
        </w:rPr>
        <w:t xml:space="preserve"> for monthy SGA rates (by month of conception) using change-point analyses tool outputs</w:t>
      </w:r>
    </w:p>
    <w:p w:rsidR="000D496B" w:rsidRDefault="000D496B" w:rsidP="000D496B">
      <w:pPr>
        <w:jc w:val="both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>
            <wp:extent cx="5731510" cy="2453697"/>
            <wp:effectExtent l="19050" t="0" r="254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0D496B" w:rsidRDefault="000D496B" w:rsidP="000D496B">
      <w:pPr>
        <w:jc w:val="both"/>
        <w:rPr>
          <w:b/>
        </w:rPr>
      </w:pPr>
    </w:p>
    <w:p w:rsidR="00E07877" w:rsidRDefault="00E07877"/>
    <w:sectPr w:rsidR="00E07877" w:rsidSect="00E94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D496B"/>
    <w:rsid w:val="000D496B"/>
    <w:rsid w:val="00E0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2013-01-28T12:58:00Z</dcterms:created>
  <dcterms:modified xsi:type="dcterms:W3CDTF">2013-01-28T12:58:00Z</dcterms:modified>
</cp:coreProperties>
</file>