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AB" w:rsidRPr="000E6E87" w:rsidRDefault="00EF72AB" w:rsidP="00EF72AB">
      <w:pPr>
        <w:spacing w:line="240" w:lineRule="auto"/>
        <w:contextualSpacing/>
        <w:rPr>
          <w:b/>
        </w:rPr>
      </w:pPr>
    </w:p>
    <w:p w:rsidR="00771E82" w:rsidRPr="000E6E87" w:rsidRDefault="00771E82" w:rsidP="00771E82">
      <w:pPr>
        <w:autoSpaceDE w:val="0"/>
        <w:autoSpaceDN w:val="0"/>
        <w:adjustRightInd w:val="0"/>
        <w:spacing w:after="0" w:line="480" w:lineRule="auto"/>
      </w:pPr>
      <w:r w:rsidRPr="000E6E87">
        <w:t xml:space="preserve">Table </w:t>
      </w:r>
      <w:r w:rsidR="00C01112">
        <w:t>S</w:t>
      </w:r>
      <w:r w:rsidRPr="000E6E87">
        <w:t xml:space="preserve">1: Sites we surveyed in 2011 based on previously reported </w:t>
      </w:r>
      <w:r w:rsidRPr="000E6E87">
        <w:rPr>
          <w:i/>
        </w:rPr>
        <w:t xml:space="preserve">P. </w:t>
      </w:r>
      <w:proofErr w:type="spellStart"/>
      <w:r w:rsidRPr="000E6E87">
        <w:rPr>
          <w:i/>
        </w:rPr>
        <w:t>insularum</w:t>
      </w:r>
      <w:proofErr w:type="spellEnd"/>
      <w:r w:rsidRPr="000E6E87">
        <w:t xml:space="preserve"> sightings. The superscripts on sites denote from where we received the initial report of </w:t>
      </w:r>
      <w:r w:rsidRPr="000E6E87">
        <w:rPr>
          <w:i/>
        </w:rPr>
        <w:t xml:space="preserve">P. </w:t>
      </w:r>
      <w:proofErr w:type="spellStart"/>
      <w:r w:rsidRPr="000E6E87">
        <w:rPr>
          <w:i/>
        </w:rPr>
        <w:t>insularum</w:t>
      </w:r>
      <w:proofErr w:type="spellEnd"/>
      <w:r w:rsidRPr="000E6E87">
        <w:t xml:space="preserve"> presence. </w:t>
      </w:r>
      <w:r w:rsidR="00760DC3" w:rsidRPr="000E6E87">
        <w:t xml:space="preserve">All counties surveyed are within the state of Georgia except for the listing for </w:t>
      </w:r>
      <w:r w:rsidR="00474756" w:rsidRPr="000E6E87">
        <w:t>Cowden</w:t>
      </w:r>
      <w:r w:rsidR="00760DC3" w:rsidRPr="000E6E87">
        <w:t xml:space="preserve">, South Carolina.  </w:t>
      </w:r>
      <w:r w:rsidR="00474756" w:rsidRPr="000E6E87">
        <w:t>The Cowden</w:t>
      </w:r>
      <w:r w:rsidRPr="000E6E87">
        <w:t xml:space="preserve">, SC entry in bold was the only population that was not confirmed. It appears to have been an ephemeral population.  </w:t>
      </w:r>
    </w:p>
    <w:p w:rsidR="00771E82" w:rsidRPr="000E6E87" w:rsidRDefault="00771E82" w:rsidP="00771E82">
      <w:pPr>
        <w:autoSpaceDE w:val="0"/>
        <w:autoSpaceDN w:val="0"/>
        <w:adjustRightInd w:val="0"/>
        <w:spacing w:after="0" w:line="240" w:lineRule="auto"/>
        <w:rPr>
          <w:b/>
        </w:rPr>
      </w:pPr>
    </w:p>
    <w:tbl>
      <w:tblPr>
        <w:tblW w:w="9934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A0"/>
      </w:tblPr>
      <w:tblGrid>
        <w:gridCol w:w="2088"/>
        <w:gridCol w:w="2340"/>
        <w:gridCol w:w="1350"/>
        <w:gridCol w:w="1260"/>
        <w:gridCol w:w="1710"/>
        <w:gridCol w:w="1186"/>
      </w:tblGrid>
      <w:tr w:rsidR="00771E82" w:rsidRPr="000E6E87">
        <w:trPr>
          <w:trHeight w:val="465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Site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proofErr w:type="spellStart"/>
            <w:r w:rsidRPr="000E6E87">
              <w:rPr>
                <w:b/>
              </w:rPr>
              <w:t>Subsite</w:t>
            </w:r>
            <w:proofErr w:type="spellEnd"/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Lat/Long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County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Drainage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 xml:space="preserve">Year 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Reported</w:t>
            </w:r>
          </w:p>
        </w:tc>
      </w:tr>
      <w:tr w:rsidR="00771E82" w:rsidRPr="000E6E87">
        <w:trPr>
          <w:trHeight w:val="449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St. Simons</w:t>
            </w:r>
            <w:r w:rsidRPr="000E6E87">
              <w:rPr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Golf course pond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31.150783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rPr>
                <w:color w:val="000000"/>
              </w:rPr>
              <w:t>-81.401633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 xml:space="preserve">Glynn 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Cumberland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2005</w:t>
            </w:r>
          </w:p>
        </w:tc>
      </w:tr>
      <w:tr w:rsidR="00771E82" w:rsidRPr="000E6E87">
        <w:trPr>
          <w:trHeight w:val="465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0E6E87">
              <w:t>St. Mary’s</w:t>
            </w:r>
            <w:r w:rsidRPr="000E6E87">
              <w:rPr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Durango Mill Pond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30.733467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rPr>
                <w:color w:val="000000"/>
              </w:rPr>
              <w:t>-81.545333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 xml:space="preserve">Camden 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St. Mary’s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2007</w:t>
            </w:r>
          </w:p>
        </w:tc>
      </w:tr>
      <w:tr w:rsidR="00771E82" w:rsidRPr="000E6E87">
        <w:trPr>
          <w:trHeight w:val="449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0E6E87">
              <w:t>St. Mary’s</w:t>
            </w:r>
            <w:r w:rsidRPr="000E6E87">
              <w:rPr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Aquatic Center Pond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30.73881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-81.55098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Camden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St. Mary’s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2007</w:t>
            </w:r>
          </w:p>
        </w:tc>
      </w:tr>
      <w:tr w:rsidR="00771E82" w:rsidRPr="000E6E87">
        <w:trPr>
          <w:trHeight w:val="690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Blackshear</w:t>
            </w:r>
            <w:r w:rsidRPr="000E6E87">
              <w:rPr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 xml:space="preserve">Ponds off Hwy 84 adjacent to </w:t>
            </w:r>
            <w:proofErr w:type="spellStart"/>
            <w:r w:rsidRPr="000E6E87">
              <w:t>Alabaha</w:t>
            </w:r>
            <w:proofErr w:type="spellEnd"/>
            <w:r w:rsidRPr="000E6E87">
              <w:t xml:space="preserve"> River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31.315233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rPr>
                <w:color w:val="000000"/>
              </w:rPr>
              <w:t>-82.225583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Pierce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Satilla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2005</w:t>
            </w:r>
          </w:p>
        </w:tc>
      </w:tr>
      <w:tr w:rsidR="00771E82" w:rsidRPr="000E6E87">
        <w:trPr>
          <w:trHeight w:val="449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0E6E87">
              <w:t>Alma</w:t>
            </w:r>
            <w:r w:rsidRPr="000E6E87">
              <w:rPr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Lake Lure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31.553217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rPr>
                <w:color w:val="000000"/>
              </w:rPr>
              <w:t>-82.482350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 xml:space="preserve">Bacon 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Satilla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2007</w:t>
            </w:r>
          </w:p>
        </w:tc>
      </w:tr>
      <w:tr w:rsidR="00771E82" w:rsidRPr="000E6E87">
        <w:trPr>
          <w:trHeight w:val="465"/>
        </w:trPr>
        <w:tc>
          <w:tcPr>
            <w:tcW w:w="2088" w:type="dxa"/>
          </w:tcPr>
          <w:p w:rsidR="00771E82" w:rsidRPr="000E6E87" w:rsidRDefault="00474756" w:rsidP="0047475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vertAlign w:val="superscript"/>
              </w:rPr>
            </w:pPr>
            <w:r w:rsidRPr="000E6E87">
              <w:rPr>
                <w:b/>
              </w:rPr>
              <w:t>Cowden</w:t>
            </w:r>
            <w:r w:rsidR="00771E82" w:rsidRPr="000E6E87">
              <w:rPr>
                <w:b/>
              </w:rPr>
              <w:t>, SC</w:t>
            </w:r>
            <w:r w:rsidR="00771E82" w:rsidRPr="000E6E87">
              <w:rPr>
                <w:b/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Adjacent to Savannah River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0E6E87">
              <w:rPr>
                <w:b/>
                <w:color w:val="000000"/>
              </w:rPr>
              <w:t>33.275983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0E6E87">
              <w:rPr>
                <w:b/>
                <w:color w:val="000000"/>
              </w:rPr>
              <w:t>-81.833583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Aiken, SC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Middle Savannah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0E6E87">
              <w:rPr>
                <w:b/>
              </w:rPr>
              <w:t>2008</w:t>
            </w:r>
          </w:p>
        </w:tc>
      </w:tr>
      <w:tr w:rsidR="00771E82" w:rsidRPr="000E6E87">
        <w:trPr>
          <w:trHeight w:val="449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0E6E87">
              <w:t>Quitman</w:t>
            </w:r>
            <w:r w:rsidRPr="000E6E87">
              <w:rPr>
                <w:vertAlign w:val="superscript"/>
              </w:rPr>
              <w:t>1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Sunset Lake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30.780733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rPr>
                <w:color w:val="000000"/>
              </w:rPr>
              <w:t>-83.5734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Brooks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Withlacoochee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2007</w:t>
            </w:r>
          </w:p>
        </w:tc>
      </w:tr>
      <w:tr w:rsidR="004D4DE0" w:rsidRPr="000E6E87" w:rsidTr="0074559E">
        <w:trPr>
          <w:trHeight w:val="465"/>
        </w:trPr>
        <w:tc>
          <w:tcPr>
            <w:tcW w:w="2088" w:type="dxa"/>
          </w:tcPr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  <w:rPr>
                <w:vertAlign w:val="superscript"/>
              </w:rPr>
            </w:pPr>
            <w:r w:rsidRPr="000E6E87">
              <w:t>Lake Seminole</w:t>
            </w:r>
            <w:r w:rsidRPr="000E6E87">
              <w:rPr>
                <w:vertAlign w:val="superscript"/>
              </w:rPr>
              <w:t>2</w:t>
            </w:r>
          </w:p>
        </w:tc>
        <w:tc>
          <w:tcPr>
            <w:tcW w:w="2340" w:type="dxa"/>
          </w:tcPr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Flint River Arm</w:t>
            </w:r>
          </w:p>
        </w:tc>
        <w:tc>
          <w:tcPr>
            <w:tcW w:w="1350" w:type="dxa"/>
          </w:tcPr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30.76604</w:t>
            </w:r>
          </w:p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-84.75134</w:t>
            </w:r>
          </w:p>
        </w:tc>
        <w:tc>
          <w:tcPr>
            <w:tcW w:w="1260" w:type="dxa"/>
          </w:tcPr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Decatur</w:t>
            </w:r>
          </w:p>
        </w:tc>
        <w:tc>
          <w:tcPr>
            <w:tcW w:w="1710" w:type="dxa"/>
          </w:tcPr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Flint</w:t>
            </w:r>
          </w:p>
        </w:tc>
        <w:tc>
          <w:tcPr>
            <w:tcW w:w="1186" w:type="dxa"/>
          </w:tcPr>
          <w:p w:rsidR="004D4DE0" w:rsidRPr="000E6E87" w:rsidRDefault="004D4DE0" w:rsidP="0074559E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2008</w:t>
            </w:r>
          </w:p>
        </w:tc>
      </w:tr>
      <w:tr w:rsidR="00771E82" w:rsidRPr="000E6E87">
        <w:trPr>
          <w:trHeight w:val="465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Albany</w:t>
            </w:r>
            <w:r w:rsidRPr="000E6E87">
              <w:rPr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Retention pond, canal</w:t>
            </w:r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31.591327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t>-84.21703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Dougherty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Flint</w:t>
            </w:r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2010</w:t>
            </w:r>
          </w:p>
        </w:tc>
      </w:tr>
      <w:tr w:rsidR="00771E82" w:rsidRPr="000E6E87">
        <w:trPr>
          <w:trHeight w:val="465"/>
        </w:trPr>
        <w:tc>
          <w:tcPr>
            <w:tcW w:w="2088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ind w:right="-46"/>
              <w:rPr>
                <w:vertAlign w:val="superscript"/>
              </w:rPr>
            </w:pPr>
            <w:r w:rsidRPr="000E6E87">
              <w:t>Thomasville</w:t>
            </w:r>
            <w:r w:rsidRPr="000E6E87">
              <w:rPr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E6E87">
              <w:t>Ochlockonee</w:t>
            </w:r>
            <w:proofErr w:type="spellEnd"/>
            <w:r w:rsidRPr="000E6E87">
              <w:t xml:space="preserve"> River </w:t>
            </w:r>
            <w:proofErr w:type="spellStart"/>
            <w:r w:rsidRPr="000E6E87">
              <w:t>mainstem</w:t>
            </w:r>
            <w:proofErr w:type="spellEnd"/>
          </w:p>
        </w:tc>
        <w:tc>
          <w:tcPr>
            <w:tcW w:w="135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30.9244</w:t>
            </w:r>
          </w:p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0E6E87">
              <w:rPr>
                <w:color w:val="000000"/>
              </w:rPr>
              <w:t>-83.99967</w:t>
            </w:r>
          </w:p>
        </w:tc>
        <w:tc>
          <w:tcPr>
            <w:tcW w:w="126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Thomas</w:t>
            </w:r>
          </w:p>
        </w:tc>
        <w:tc>
          <w:tcPr>
            <w:tcW w:w="1710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0E6E87">
              <w:t>Ochlockonee</w:t>
            </w:r>
            <w:proofErr w:type="spellEnd"/>
          </w:p>
        </w:tc>
        <w:tc>
          <w:tcPr>
            <w:tcW w:w="1186" w:type="dxa"/>
          </w:tcPr>
          <w:p w:rsidR="00771E82" w:rsidRPr="000E6E87" w:rsidRDefault="00771E82" w:rsidP="007939B7">
            <w:pPr>
              <w:autoSpaceDE w:val="0"/>
              <w:autoSpaceDN w:val="0"/>
              <w:adjustRightInd w:val="0"/>
              <w:spacing w:after="0" w:line="240" w:lineRule="auto"/>
            </w:pPr>
            <w:r w:rsidRPr="000E6E87">
              <w:t>2010</w:t>
            </w:r>
          </w:p>
        </w:tc>
      </w:tr>
    </w:tbl>
    <w:p w:rsidR="00771E82" w:rsidRDefault="00771E82" w:rsidP="00771E82">
      <w:pPr>
        <w:autoSpaceDE w:val="0"/>
        <w:autoSpaceDN w:val="0"/>
        <w:adjustRightInd w:val="0"/>
        <w:spacing w:before="120" w:after="0" w:line="240" w:lineRule="auto"/>
      </w:pPr>
      <w:r w:rsidRPr="000E6E87">
        <w:rPr>
          <w:vertAlign w:val="superscript"/>
        </w:rPr>
        <w:t>1</w:t>
      </w:r>
      <w:r w:rsidR="0035393F" w:rsidRPr="000E6E87">
        <w:fldChar w:fldCharType="begin"/>
      </w:r>
      <w:r w:rsidRPr="000E6E87">
        <w:instrText xml:space="preserve"> ADDIN EN.CITE &lt;EndNote&gt;&lt;Cite&gt;&lt;Author&gt;Benson&lt;/Author&gt;&lt;Year&gt;2011&lt;/Year&gt;&lt;RecNum&gt;133&lt;/RecNum&gt;&lt;DisplayText&gt;(Benson 2011)&lt;/DisplayText&gt;&lt;record&gt;&lt;rec-number&gt;133&lt;/rec-number&gt;&lt;foreign-keys&gt;&lt;key app="EN" db-id="9rz2rp9wedxrziepv2p5psa5fztsv9etax9v"&gt;133&lt;/key&gt;&lt;/foreign-keys&gt;&lt;ref-type name="Online Database"&gt;45&lt;/ref-type&gt;&lt;contributors&gt;&lt;authors&gt;&lt;author&gt;Benson, A.J.&lt;/author&gt;&lt;/authors&gt;&lt;secondary-authors&gt;&lt;author&gt;USGS&lt;/author&gt;&lt;/secondary-authors&gt;&lt;/contributors&gt;&lt;titles&gt;&lt;title&gt;&lt;style face="normal" font="default" size="100%"&gt;Nonindigenous Aquatic Species Database, &lt;/style&gt;&lt;style face="italic" font="default" size="100%"&gt;Pomacea insularum.&lt;/style&gt;&lt;/title&gt;&lt;/titles&gt;&lt;dates&gt;&lt;year&gt;2011&lt;/year&gt;&lt;/dates&gt;&lt;pub-location&gt;Gainesville, FL.&lt;/pub-location&gt;&lt;urls&gt;&lt;related-urls&gt;&lt;url&gt;http://nas.er.usgs.gov/queries/CollectionInfo.aspx?SpeciesID=2599&lt;/url&gt;&lt;/related-urls&gt;&lt;/urls&gt;&lt;/record&gt;&lt;/Cite&gt;&lt;/EndNote&gt;</w:instrText>
      </w:r>
      <w:r w:rsidR="0035393F" w:rsidRPr="000E6E87">
        <w:fldChar w:fldCharType="separate"/>
      </w:r>
      <w:r w:rsidRPr="000E6E87">
        <w:rPr>
          <w:noProof/>
        </w:rPr>
        <w:t>(</w:t>
      </w:r>
      <w:hyperlink w:anchor="_ENREF_3" w:tooltip="Benson, 2011 #133" w:history="1">
        <w:r w:rsidRPr="000E6E87">
          <w:rPr>
            <w:noProof/>
          </w:rPr>
          <w:t>Benson 201</w:t>
        </w:r>
        <w:r w:rsidR="004D4DE0" w:rsidRPr="000E6E87">
          <w:rPr>
            <w:noProof/>
          </w:rPr>
          <w:t>0</w:t>
        </w:r>
      </w:hyperlink>
      <w:r w:rsidRPr="000E6E87">
        <w:rPr>
          <w:noProof/>
        </w:rPr>
        <w:t>)</w:t>
      </w:r>
      <w:r w:rsidR="0035393F" w:rsidRPr="000E6E87">
        <w:fldChar w:fldCharType="end"/>
      </w:r>
      <w:r w:rsidRPr="000E6E87">
        <w:t>,</w:t>
      </w:r>
      <w:r w:rsidRPr="000E6E87">
        <w:rPr>
          <w:vertAlign w:val="superscript"/>
        </w:rPr>
        <w:t xml:space="preserve"> 2</w:t>
      </w:r>
      <w:r w:rsidRPr="000E6E87">
        <w:t xml:space="preserve">Jack Wingate, </w:t>
      </w:r>
      <w:r w:rsidRPr="000E6E87">
        <w:rPr>
          <w:vertAlign w:val="superscript"/>
        </w:rPr>
        <w:t>3</w:t>
      </w:r>
      <w:r w:rsidRPr="000E6E87">
        <w:t>Dean Barber (Georgia DNR), personal communication</w:t>
      </w:r>
    </w:p>
    <w:p w:rsidR="00F60630" w:rsidRDefault="00F60630" w:rsidP="00771E82">
      <w:pPr>
        <w:autoSpaceDE w:val="0"/>
        <w:autoSpaceDN w:val="0"/>
        <w:adjustRightInd w:val="0"/>
        <w:spacing w:before="120" w:after="0" w:line="240" w:lineRule="auto"/>
      </w:pPr>
    </w:p>
    <w:p w:rsidR="00A32AB1" w:rsidRDefault="00A32AB1" w:rsidP="00771E82">
      <w:pPr>
        <w:autoSpaceDE w:val="0"/>
        <w:autoSpaceDN w:val="0"/>
        <w:adjustRightInd w:val="0"/>
        <w:spacing w:before="120" w:after="0" w:line="240" w:lineRule="auto"/>
      </w:pPr>
    </w:p>
    <w:p w:rsidR="00F60630" w:rsidRDefault="00F60630" w:rsidP="00771E82">
      <w:pPr>
        <w:autoSpaceDE w:val="0"/>
        <w:autoSpaceDN w:val="0"/>
        <w:adjustRightInd w:val="0"/>
        <w:spacing w:before="120" w:after="0" w:line="240" w:lineRule="auto"/>
      </w:pPr>
      <w:r>
        <w:t>References:</w:t>
      </w:r>
    </w:p>
    <w:p w:rsidR="00771E82" w:rsidRPr="000E6E87" w:rsidRDefault="00F60630" w:rsidP="002A58A6">
      <w:pPr>
        <w:spacing w:after="120" w:line="240" w:lineRule="auto"/>
        <w:ind w:left="720" w:hanging="720"/>
      </w:pPr>
      <w:r>
        <w:t xml:space="preserve">Benson AJ (2010) </w:t>
      </w:r>
      <w:proofErr w:type="spellStart"/>
      <w:proofErr w:type="gramStart"/>
      <w:r w:rsidRPr="009228C1">
        <w:rPr>
          <w:i/>
        </w:rPr>
        <w:t>Pomacea</w:t>
      </w:r>
      <w:proofErr w:type="spellEnd"/>
      <w:r w:rsidRPr="009228C1">
        <w:rPr>
          <w:i/>
        </w:rPr>
        <w:t xml:space="preserve">  </w:t>
      </w:r>
      <w:proofErr w:type="spellStart"/>
      <w:r w:rsidRPr="009228C1">
        <w:rPr>
          <w:i/>
        </w:rPr>
        <w:t>insularum</w:t>
      </w:r>
      <w:proofErr w:type="spellEnd"/>
      <w:proofErr w:type="gramEnd"/>
      <w:r>
        <w:t xml:space="preserve">. USGS </w:t>
      </w:r>
      <w:proofErr w:type="spellStart"/>
      <w:r>
        <w:t>Nonindigenous</w:t>
      </w:r>
      <w:proofErr w:type="spellEnd"/>
      <w:r>
        <w:t xml:space="preserve"> Aquatic Species Database, Gainesville, FL. Revision Date: 10/8/2009 </w:t>
      </w:r>
      <w:proofErr w:type="gramStart"/>
      <w:r>
        <w:t>ed</w:t>
      </w:r>
      <w:proofErr w:type="gramEnd"/>
      <w:r>
        <w:t>.</w:t>
      </w:r>
    </w:p>
    <w:sectPr w:rsidR="00771E82" w:rsidRPr="000E6E87" w:rsidSect="00655D0E"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9E" w:rsidRDefault="0074559E" w:rsidP="00E644F6">
      <w:pPr>
        <w:spacing w:after="0" w:line="240" w:lineRule="auto"/>
      </w:pPr>
      <w:r>
        <w:separator/>
      </w:r>
    </w:p>
  </w:endnote>
  <w:endnote w:type="continuationSeparator" w:id="0">
    <w:p w:rsidR="0074559E" w:rsidRDefault="0074559E" w:rsidP="00E6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2976"/>
      <w:docPartObj>
        <w:docPartGallery w:val="Page Numbers (Bottom of Page)"/>
        <w:docPartUnique/>
      </w:docPartObj>
    </w:sdtPr>
    <w:sdtContent>
      <w:p w:rsidR="0074559E" w:rsidRDefault="0035393F">
        <w:pPr>
          <w:pStyle w:val="Footer"/>
          <w:jc w:val="center"/>
        </w:pPr>
        <w:fldSimple w:instr=" PAGE   \* MERGEFORMAT ">
          <w:r w:rsidR="00A32AB1">
            <w:rPr>
              <w:noProof/>
            </w:rPr>
            <w:t>1</w:t>
          </w:r>
        </w:fldSimple>
      </w:p>
    </w:sdtContent>
  </w:sdt>
  <w:p w:rsidR="0074559E" w:rsidRDefault="00745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9E" w:rsidRDefault="0074559E" w:rsidP="00E644F6">
      <w:pPr>
        <w:spacing w:after="0" w:line="240" w:lineRule="auto"/>
      </w:pPr>
      <w:r>
        <w:separator/>
      </w:r>
    </w:p>
  </w:footnote>
  <w:footnote w:type="continuationSeparator" w:id="0">
    <w:p w:rsidR="0074559E" w:rsidRDefault="0074559E" w:rsidP="00E6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56D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963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4BD827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1E60A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9B4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1A8D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23C9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DC4CA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69E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2A3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9FC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42A2B"/>
    <w:multiLevelType w:val="multilevel"/>
    <w:tmpl w:val="D28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CB7B21"/>
    <w:multiLevelType w:val="multilevel"/>
    <w:tmpl w:val="05B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3B138C"/>
    <w:multiLevelType w:val="multilevel"/>
    <w:tmpl w:val="397E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50734"/>
    <w:multiLevelType w:val="multilevel"/>
    <w:tmpl w:val="18C8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590DDB"/>
    <w:multiLevelType w:val="hybridMultilevel"/>
    <w:tmpl w:val="CBA053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B10DD"/>
    <w:multiLevelType w:val="multilevel"/>
    <w:tmpl w:val="4A12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963177"/>
    <w:multiLevelType w:val="multilevel"/>
    <w:tmpl w:val="9A2C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E39FD"/>
    <w:multiLevelType w:val="multilevel"/>
    <w:tmpl w:val="B9163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8B0785"/>
    <w:multiLevelType w:val="hybridMultilevel"/>
    <w:tmpl w:val="FF8E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640B4"/>
    <w:multiLevelType w:val="multilevel"/>
    <w:tmpl w:val="EAC8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84D28"/>
    <w:multiLevelType w:val="multilevel"/>
    <w:tmpl w:val="8802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BE13AE"/>
    <w:multiLevelType w:val="multilevel"/>
    <w:tmpl w:val="807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B258CA"/>
    <w:multiLevelType w:val="multilevel"/>
    <w:tmpl w:val="FEE6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8FA0ECC"/>
    <w:multiLevelType w:val="hybridMultilevel"/>
    <w:tmpl w:val="F98882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A4A70"/>
    <w:multiLevelType w:val="hybridMultilevel"/>
    <w:tmpl w:val="BC68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3"/>
  </w:num>
  <w:num w:numId="4">
    <w:abstractNumId w:val="14"/>
  </w:num>
  <w:num w:numId="5">
    <w:abstractNumId w:val="13"/>
  </w:num>
  <w:num w:numId="6">
    <w:abstractNumId w:val="11"/>
  </w:num>
  <w:num w:numId="7">
    <w:abstractNumId w:val="21"/>
  </w:num>
  <w:num w:numId="8">
    <w:abstractNumId w:val="16"/>
  </w:num>
  <w:num w:numId="9">
    <w:abstractNumId w:val="17"/>
  </w:num>
  <w:num w:numId="10">
    <w:abstractNumId w:val="12"/>
  </w:num>
  <w:num w:numId="11">
    <w:abstractNumId w:val="18"/>
  </w:num>
  <w:num w:numId="12">
    <w:abstractNumId w:val="20"/>
  </w:num>
  <w:num w:numId="13">
    <w:abstractNumId w:val="2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5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08E"/>
    <w:rsid w:val="00003699"/>
    <w:rsid w:val="00006CD4"/>
    <w:rsid w:val="0001376C"/>
    <w:rsid w:val="00026B7D"/>
    <w:rsid w:val="00030EB4"/>
    <w:rsid w:val="00035FBF"/>
    <w:rsid w:val="00036ACE"/>
    <w:rsid w:val="0003757D"/>
    <w:rsid w:val="00043C08"/>
    <w:rsid w:val="000447FF"/>
    <w:rsid w:val="00047A5A"/>
    <w:rsid w:val="00060CBA"/>
    <w:rsid w:val="00061D0A"/>
    <w:rsid w:val="00067F42"/>
    <w:rsid w:val="0007336A"/>
    <w:rsid w:val="00080983"/>
    <w:rsid w:val="0008159A"/>
    <w:rsid w:val="00094E83"/>
    <w:rsid w:val="00096FC2"/>
    <w:rsid w:val="000A3319"/>
    <w:rsid w:val="000A41E3"/>
    <w:rsid w:val="000A43E5"/>
    <w:rsid w:val="000A5CF6"/>
    <w:rsid w:val="000A7029"/>
    <w:rsid w:val="000A7E85"/>
    <w:rsid w:val="000B0A78"/>
    <w:rsid w:val="000B0AAB"/>
    <w:rsid w:val="000B14EB"/>
    <w:rsid w:val="000B443C"/>
    <w:rsid w:val="000B4649"/>
    <w:rsid w:val="000B65CE"/>
    <w:rsid w:val="000B66DD"/>
    <w:rsid w:val="000C0824"/>
    <w:rsid w:val="000C4C00"/>
    <w:rsid w:val="000C79EB"/>
    <w:rsid w:val="000D1755"/>
    <w:rsid w:val="000D556C"/>
    <w:rsid w:val="000D57D6"/>
    <w:rsid w:val="000D6FD6"/>
    <w:rsid w:val="000E0BAC"/>
    <w:rsid w:val="000E6E87"/>
    <w:rsid w:val="000F27ED"/>
    <w:rsid w:val="000F5BE5"/>
    <w:rsid w:val="000F73DE"/>
    <w:rsid w:val="000F762F"/>
    <w:rsid w:val="00101222"/>
    <w:rsid w:val="00101C72"/>
    <w:rsid w:val="00103A12"/>
    <w:rsid w:val="00103AE9"/>
    <w:rsid w:val="00107C35"/>
    <w:rsid w:val="001137C6"/>
    <w:rsid w:val="0011481E"/>
    <w:rsid w:val="00114972"/>
    <w:rsid w:val="00116BA0"/>
    <w:rsid w:val="00116E33"/>
    <w:rsid w:val="00130473"/>
    <w:rsid w:val="001314BC"/>
    <w:rsid w:val="0013170D"/>
    <w:rsid w:val="0013204B"/>
    <w:rsid w:val="001335D3"/>
    <w:rsid w:val="00133DED"/>
    <w:rsid w:val="00136122"/>
    <w:rsid w:val="00145382"/>
    <w:rsid w:val="001542CA"/>
    <w:rsid w:val="00164E45"/>
    <w:rsid w:val="00165437"/>
    <w:rsid w:val="00171DFC"/>
    <w:rsid w:val="001747E8"/>
    <w:rsid w:val="00184560"/>
    <w:rsid w:val="00185EB7"/>
    <w:rsid w:val="0019046B"/>
    <w:rsid w:val="001926F0"/>
    <w:rsid w:val="001932EA"/>
    <w:rsid w:val="00196DF3"/>
    <w:rsid w:val="001A3424"/>
    <w:rsid w:val="001A61F5"/>
    <w:rsid w:val="001B0239"/>
    <w:rsid w:val="001B1CB5"/>
    <w:rsid w:val="001B49CC"/>
    <w:rsid w:val="001B4DCC"/>
    <w:rsid w:val="001C345E"/>
    <w:rsid w:val="001C3938"/>
    <w:rsid w:val="001C516F"/>
    <w:rsid w:val="001C62E7"/>
    <w:rsid w:val="001C69B4"/>
    <w:rsid w:val="001C69E2"/>
    <w:rsid w:val="001C760B"/>
    <w:rsid w:val="001D1C63"/>
    <w:rsid w:val="001D5E00"/>
    <w:rsid w:val="001D65BF"/>
    <w:rsid w:val="001F1032"/>
    <w:rsid w:val="00203DED"/>
    <w:rsid w:val="00205A86"/>
    <w:rsid w:val="002166A0"/>
    <w:rsid w:val="0022564C"/>
    <w:rsid w:val="00226E6A"/>
    <w:rsid w:val="002324BE"/>
    <w:rsid w:val="00240D08"/>
    <w:rsid w:val="00240E9A"/>
    <w:rsid w:val="002457B8"/>
    <w:rsid w:val="002459E0"/>
    <w:rsid w:val="00246F5F"/>
    <w:rsid w:val="00251A83"/>
    <w:rsid w:val="00253E7B"/>
    <w:rsid w:val="00255D7A"/>
    <w:rsid w:val="00257D2B"/>
    <w:rsid w:val="002624A2"/>
    <w:rsid w:val="002666C4"/>
    <w:rsid w:val="00270981"/>
    <w:rsid w:val="002709A5"/>
    <w:rsid w:val="00272ECD"/>
    <w:rsid w:val="00274EF5"/>
    <w:rsid w:val="002761E6"/>
    <w:rsid w:val="00281150"/>
    <w:rsid w:val="00282459"/>
    <w:rsid w:val="002856DD"/>
    <w:rsid w:val="00291135"/>
    <w:rsid w:val="00291E42"/>
    <w:rsid w:val="00293655"/>
    <w:rsid w:val="00296FF5"/>
    <w:rsid w:val="002A1345"/>
    <w:rsid w:val="002A4ED2"/>
    <w:rsid w:val="002A58A6"/>
    <w:rsid w:val="002B174C"/>
    <w:rsid w:val="002B321B"/>
    <w:rsid w:val="002B7C96"/>
    <w:rsid w:val="002C33F7"/>
    <w:rsid w:val="002C4135"/>
    <w:rsid w:val="002C6894"/>
    <w:rsid w:val="002D106D"/>
    <w:rsid w:val="002D424F"/>
    <w:rsid w:val="002D5A1D"/>
    <w:rsid w:val="002E1058"/>
    <w:rsid w:val="002E2F4D"/>
    <w:rsid w:val="002E5AA9"/>
    <w:rsid w:val="002F15B8"/>
    <w:rsid w:val="002F7EB6"/>
    <w:rsid w:val="00301D9B"/>
    <w:rsid w:val="00306393"/>
    <w:rsid w:val="003145FA"/>
    <w:rsid w:val="00314721"/>
    <w:rsid w:val="00315B4E"/>
    <w:rsid w:val="003207B3"/>
    <w:rsid w:val="0032129D"/>
    <w:rsid w:val="00323899"/>
    <w:rsid w:val="00324D5C"/>
    <w:rsid w:val="003364F6"/>
    <w:rsid w:val="003418D5"/>
    <w:rsid w:val="0034333C"/>
    <w:rsid w:val="00343410"/>
    <w:rsid w:val="00345CE7"/>
    <w:rsid w:val="00350205"/>
    <w:rsid w:val="00350EA2"/>
    <w:rsid w:val="0035226C"/>
    <w:rsid w:val="00353052"/>
    <w:rsid w:val="0035393F"/>
    <w:rsid w:val="00360844"/>
    <w:rsid w:val="00370AE3"/>
    <w:rsid w:val="00371887"/>
    <w:rsid w:val="00371BC6"/>
    <w:rsid w:val="003727E0"/>
    <w:rsid w:val="00390527"/>
    <w:rsid w:val="003926F8"/>
    <w:rsid w:val="00393596"/>
    <w:rsid w:val="0039694C"/>
    <w:rsid w:val="003A1677"/>
    <w:rsid w:val="003B239F"/>
    <w:rsid w:val="003B5E18"/>
    <w:rsid w:val="003B7135"/>
    <w:rsid w:val="003C02A4"/>
    <w:rsid w:val="003D28AB"/>
    <w:rsid w:val="003E3B87"/>
    <w:rsid w:val="003E5285"/>
    <w:rsid w:val="003E5594"/>
    <w:rsid w:val="003E621F"/>
    <w:rsid w:val="003F5297"/>
    <w:rsid w:val="003F61E3"/>
    <w:rsid w:val="004001DA"/>
    <w:rsid w:val="004012AE"/>
    <w:rsid w:val="00406A2E"/>
    <w:rsid w:val="00412317"/>
    <w:rsid w:val="00412C34"/>
    <w:rsid w:val="0042192A"/>
    <w:rsid w:val="00421F02"/>
    <w:rsid w:val="004315F3"/>
    <w:rsid w:val="0043452D"/>
    <w:rsid w:val="00435478"/>
    <w:rsid w:val="00435CE9"/>
    <w:rsid w:val="00437575"/>
    <w:rsid w:val="0044060B"/>
    <w:rsid w:val="0044151E"/>
    <w:rsid w:val="004429A2"/>
    <w:rsid w:val="004431AF"/>
    <w:rsid w:val="00446D71"/>
    <w:rsid w:val="00453022"/>
    <w:rsid w:val="004537D1"/>
    <w:rsid w:val="004568B3"/>
    <w:rsid w:val="00464F3A"/>
    <w:rsid w:val="00474756"/>
    <w:rsid w:val="0048312F"/>
    <w:rsid w:val="004858A8"/>
    <w:rsid w:val="00490043"/>
    <w:rsid w:val="00490CB7"/>
    <w:rsid w:val="00493EC3"/>
    <w:rsid w:val="00494E40"/>
    <w:rsid w:val="00495462"/>
    <w:rsid w:val="004962A1"/>
    <w:rsid w:val="004A0EF6"/>
    <w:rsid w:val="004A17C1"/>
    <w:rsid w:val="004A4987"/>
    <w:rsid w:val="004A584E"/>
    <w:rsid w:val="004A60FA"/>
    <w:rsid w:val="004A6434"/>
    <w:rsid w:val="004A7B4F"/>
    <w:rsid w:val="004B1B5F"/>
    <w:rsid w:val="004B1E23"/>
    <w:rsid w:val="004B4CF0"/>
    <w:rsid w:val="004B4F34"/>
    <w:rsid w:val="004B66A5"/>
    <w:rsid w:val="004C17B5"/>
    <w:rsid w:val="004C536D"/>
    <w:rsid w:val="004C5504"/>
    <w:rsid w:val="004C7DD5"/>
    <w:rsid w:val="004D06D2"/>
    <w:rsid w:val="004D4DE0"/>
    <w:rsid w:val="004D6064"/>
    <w:rsid w:val="004D7941"/>
    <w:rsid w:val="004E1647"/>
    <w:rsid w:val="004E1B20"/>
    <w:rsid w:val="004F7534"/>
    <w:rsid w:val="004F7635"/>
    <w:rsid w:val="00500E4C"/>
    <w:rsid w:val="00502A01"/>
    <w:rsid w:val="00502A1D"/>
    <w:rsid w:val="005065F5"/>
    <w:rsid w:val="00520267"/>
    <w:rsid w:val="005242AF"/>
    <w:rsid w:val="005242D6"/>
    <w:rsid w:val="0053289A"/>
    <w:rsid w:val="00532DC7"/>
    <w:rsid w:val="00536A0A"/>
    <w:rsid w:val="00537133"/>
    <w:rsid w:val="005374CF"/>
    <w:rsid w:val="00537D85"/>
    <w:rsid w:val="00541E83"/>
    <w:rsid w:val="00543306"/>
    <w:rsid w:val="00543392"/>
    <w:rsid w:val="005460D9"/>
    <w:rsid w:val="00546A56"/>
    <w:rsid w:val="0055254D"/>
    <w:rsid w:val="00552DDF"/>
    <w:rsid w:val="0055684F"/>
    <w:rsid w:val="00557FB0"/>
    <w:rsid w:val="00561368"/>
    <w:rsid w:val="00564BE4"/>
    <w:rsid w:val="00573200"/>
    <w:rsid w:val="00573308"/>
    <w:rsid w:val="00580FBF"/>
    <w:rsid w:val="00582360"/>
    <w:rsid w:val="005829AD"/>
    <w:rsid w:val="00584AF3"/>
    <w:rsid w:val="005929A9"/>
    <w:rsid w:val="005961E4"/>
    <w:rsid w:val="005A370A"/>
    <w:rsid w:val="005A4DAD"/>
    <w:rsid w:val="005A5713"/>
    <w:rsid w:val="005A5BCF"/>
    <w:rsid w:val="005A7846"/>
    <w:rsid w:val="005B25FA"/>
    <w:rsid w:val="005B3BCF"/>
    <w:rsid w:val="005B6A6C"/>
    <w:rsid w:val="005B6AF4"/>
    <w:rsid w:val="005C082A"/>
    <w:rsid w:val="005C5EF4"/>
    <w:rsid w:val="005D07B5"/>
    <w:rsid w:val="005D1FA9"/>
    <w:rsid w:val="005D23DB"/>
    <w:rsid w:val="005E6182"/>
    <w:rsid w:val="005F1F09"/>
    <w:rsid w:val="005F42FE"/>
    <w:rsid w:val="00600423"/>
    <w:rsid w:val="00601A71"/>
    <w:rsid w:val="0060326F"/>
    <w:rsid w:val="00605921"/>
    <w:rsid w:val="00605B3B"/>
    <w:rsid w:val="0061199F"/>
    <w:rsid w:val="00614B37"/>
    <w:rsid w:val="006155BC"/>
    <w:rsid w:val="006202F4"/>
    <w:rsid w:val="006263B9"/>
    <w:rsid w:val="006330B1"/>
    <w:rsid w:val="00634CB3"/>
    <w:rsid w:val="006364AB"/>
    <w:rsid w:val="00640375"/>
    <w:rsid w:val="00642C1D"/>
    <w:rsid w:val="00643436"/>
    <w:rsid w:val="00644DFB"/>
    <w:rsid w:val="006467C5"/>
    <w:rsid w:val="00646C9A"/>
    <w:rsid w:val="0065340E"/>
    <w:rsid w:val="00655D0E"/>
    <w:rsid w:val="006633F2"/>
    <w:rsid w:val="00663452"/>
    <w:rsid w:val="0066434B"/>
    <w:rsid w:val="00664A29"/>
    <w:rsid w:val="00666336"/>
    <w:rsid w:val="00666CF1"/>
    <w:rsid w:val="00672736"/>
    <w:rsid w:val="00677959"/>
    <w:rsid w:val="00677D6A"/>
    <w:rsid w:val="006852D5"/>
    <w:rsid w:val="00685741"/>
    <w:rsid w:val="00691379"/>
    <w:rsid w:val="006947BD"/>
    <w:rsid w:val="006A428C"/>
    <w:rsid w:val="006B1F0A"/>
    <w:rsid w:val="006B44AA"/>
    <w:rsid w:val="006C02AA"/>
    <w:rsid w:val="006C19B2"/>
    <w:rsid w:val="006C31DA"/>
    <w:rsid w:val="006C449D"/>
    <w:rsid w:val="006C5678"/>
    <w:rsid w:val="006D184A"/>
    <w:rsid w:val="006D2B95"/>
    <w:rsid w:val="006D592F"/>
    <w:rsid w:val="006D6CE2"/>
    <w:rsid w:val="006E0A5A"/>
    <w:rsid w:val="006E1262"/>
    <w:rsid w:val="006E3058"/>
    <w:rsid w:val="007013F9"/>
    <w:rsid w:val="00702921"/>
    <w:rsid w:val="00707691"/>
    <w:rsid w:val="00707D28"/>
    <w:rsid w:val="00722169"/>
    <w:rsid w:val="007263DE"/>
    <w:rsid w:val="00726494"/>
    <w:rsid w:val="00726FE7"/>
    <w:rsid w:val="00727EEC"/>
    <w:rsid w:val="0073202C"/>
    <w:rsid w:val="00732741"/>
    <w:rsid w:val="00733BC5"/>
    <w:rsid w:val="007375D7"/>
    <w:rsid w:val="00741420"/>
    <w:rsid w:val="00742BC7"/>
    <w:rsid w:val="0074472A"/>
    <w:rsid w:val="0074559E"/>
    <w:rsid w:val="007501E3"/>
    <w:rsid w:val="0075164E"/>
    <w:rsid w:val="00755D4A"/>
    <w:rsid w:val="00756F04"/>
    <w:rsid w:val="00760DC3"/>
    <w:rsid w:val="0076591D"/>
    <w:rsid w:val="00767D1D"/>
    <w:rsid w:val="00771E82"/>
    <w:rsid w:val="00774FE1"/>
    <w:rsid w:val="00776F39"/>
    <w:rsid w:val="00777ECA"/>
    <w:rsid w:val="00782573"/>
    <w:rsid w:val="00792486"/>
    <w:rsid w:val="007924E1"/>
    <w:rsid w:val="007939B7"/>
    <w:rsid w:val="00793E47"/>
    <w:rsid w:val="007945A9"/>
    <w:rsid w:val="007B0803"/>
    <w:rsid w:val="007C458C"/>
    <w:rsid w:val="007C66E3"/>
    <w:rsid w:val="007D5F92"/>
    <w:rsid w:val="007E66F7"/>
    <w:rsid w:val="007F3DE9"/>
    <w:rsid w:val="007F5880"/>
    <w:rsid w:val="0080238F"/>
    <w:rsid w:val="00803246"/>
    <w:rsid w:val="00803CBE"/>
    <w:rsid w:val="0080437C"/>
    <w:rsid w:val="00804A21"/>
    <w:rsid w:val="00806639"/>
    <w:rsid w:val="00807F0E"/>
    <w:rsid w:val="00817344"/>
    <w:rsid w:val="008255C5"/>
    <w:rsid w:val="0083132F"/>
    <w:rsid w:val="008328D4"/>
    <w:rsid w:val="00836703"/>
    <w:rsid w:val="0084083F"/>
    <w:rsid w:val="008412B2"/>
    <w:rsid w:val="00842568"/>
    <w:rsid w:val="008475A1"/>
    <w:rsid w:val="00847ABC"/>
    <w:rsid w:val="008502F9"/>
    <w:rsid w:val="00854C33"/>
    <w:rsid w:val="00856E08"/>
    <w:rsid w:val="0086326D"/>
    <w:rsid w:val="008812D3"/>
    <w:rsid w:val="00881E0A"/>
    <w:rsid w:val="00890EE4"/>
    <w:rsid w:val="008A321B"/>
    <w:rsid w:val="008A454C"/>
    <w:rsid w:val="008A4EDE"/>
    <w:rsid w:val="008A6F12"/>
    <w:rsid w:val="008C1FC1"/>
    <w:rsid w:val="008C22C9"/>
    <w:rsid w:val="008C27CF"/>
    <w:rsid w:val="008C51AE"/>
    <w:rsid w:val="008C5AAB"/>
    <w:rsid w:val="008C6A54"/>
    <w:rsid w:val="008C6EB2"/>
    <w:rsid w:val="008D2FF5"/>
    <w:rsid w:val="008D401A"/>
    <w:rsid w:val="008D45A7"/>
    <w:rsid w:val="008D7245"/>
    <w:rsid w:val="008E0031"/>
    <w:rsid w:val="008E04A4"/>
    <w:rsid w:val="008E22E2"/>
    <w:rsid w:val="008F09EE"/>
    <w:rsid w:val="00903D0D"/>
    <w:rsid w:val="00907756"/>
    <w:rsid w:val="00907A68"/>
    <w:rsid w:val="00915490"/>
    <w:rsid w:val="0091796F"/>
    <w:rsid w:val="009224FA"/>
    <w:rsid w:val="00923B61"/>
    <w:rsid w:val="00924061"/>
    <w:rsid w:val="00932CFC"/>
    <w:rsid w:val="00940A38"/>
    <w:rsid w:val="009415CF"/>
    <w:rsid w:val="0094193E"/>
    <w:rsid w:val="00942F4C"/>
    <w:rsid w:val="00947BD4"/>
    <w:rsid w:val="00953478"/>
    <w:rsid w:val="00954A3D"/>
    <w:rsid w:val="00954A50"/>
    <w:rsid w:val="009571EE"/>
    <w:rsid w:val="00960A47"/>
    <w:rsid w:val="00961F7F"/>
    <w:rsid w:val="009622A6"/>
    <w:rsid w:val="00962E8A"/>
    <w:rsid w:val="009645E6"/>
    <w:rsid w:val="00971DD3"/>
    <w:rsid w:val="009728CC"/>
    <w:rsid w:val="009738B0"/>
    <w:rsid w:val="009805E8"/>
    <w:rsid w:val="00981020"/>
    <w:rsid w:val="00983906"/>
    <w:rsid w:val="00983DE8"/>
    <w:rsid w:val="009841B3"/>
    <w:rsid w:val="009877F8"/>
    <w:rsid w:val="0099189D"/>
    <w:rsid w:val="009A100E"/>
    <w:rsid w:val="009A534D"/>
    <w:rsid w:val="009A68D1"/>
    <w:rsid w:val="009A6EA0"/>
    <w:rsid w:val="009B3EF3"/>
    <w:rsid w:val="009C64F9"/>
    <w:rsid w:val="009D0617"/>
    <w:rsid w:val="009D075B"/>
    <w:rsid w:val="009D1713"/>
    <w:rsid w:val="009D2D0B"/>
    <w:rsid w:val="009D3B77"/>
    <w:rsid w:val="009D6A72"/>
    <w:rsid w:val="009E103D"/>
    <w:rsid w:val="009E321D"/>
    <w:rsid w:val="009F6C27"/>
    <w:rsid w:val="009F7B0D"/>
    <w:rsid w:val="00A00BB2"/>
    <w:rsid w:val="00A04B26"/>
    <w:rsid w:val="00A07BE5"/>
    <w:rsid w:val="00A10A7E"/>
    <w:rsid w:val="00A1461A"/>
    <w:rsid w:val="00A250FF"/>
    <w:rsid w:val="00A25AF7"/>
    <w:rsid w:val="00A25C16"/>
    <w:rsid w:val="00A30600"/>
    <w:rsid w:val="00A3136E"/>
    <w:rsid w:val="00A32AB1"/>
    <w:rsid w:val="00A41761"/>
    <w:rsid w:val="00A41A67"/>
    <w:rsid w:val="00A42AEB"/>
    <w:rsid w:val="00A46D17"/>
    <w:rsid w:val="00A50457"/>
    <w:rsid w:val="00A50C69"/>
    <w:rsid w:val="00A51197"/>
    <w:rsid w:val="00A619F2"/>
    <w:rsid w:val="00A67C44"/>
    <w:rsid w:val="00A71292"/>
    <w:rsid w:val="00A808E1"/>
    <w:rsid w:val="00A831B5"/>
    <w:rsid w:val="00A83850"/>
    <w:rsid w:val="00A87FDB"/>
    <w:rsid w:val="00A922C4"/>
    <w:rsid w:val="00A930CE"/>
    <w:rsid w:val="00A932B7"/>
    <w:rsid w:val="00A94FF1"/>
    <w:rsid w:val="00A97C31"/>
    <w:rsid w:val="00AA0A7B"/>
    <w:rsid w:val="00AA21E0"/>
    <w:rsid w:val="00AA787D"/>
    <w:rsid w:val="00AB388E"/>
    <w:rsid w:val="00AD27EB"/>
    <w:rsid w:val="00AD392A"/>
    <w:rsid w:val="00AD4505"/>
    <w:rsid w:val="00AD472B"/>
    <w:rsid w:val="00AE0547"/>
    <w:rsid w:val="00AE0EAF"/>
    <w:rsid w:val="00AE6B1B"/>
    <w:rsid w:val="00AF0F42"/>
    <w:rsid w:val="00AF24F7"/>
    <w:rsid w:val="00AF589A"/>
    <w:rsid w:val="00AF68A2"/>
    <w:rsid w:val="00AF6D26"/>
    <w:rsid w:val="00B03EC8"/>
    <w:rsid w:val="00B06DDD"/>
    <w:rsid w:val="00B10753"/>
    <w:rsid w:val="00B178AB"/>
    <w:rsid w:val="00B219E3"/>
    <w:rsid w:val="00B22C13"/>
    <w:rsid w:val="00B31E7C"/>
    <w:rsid w:val="00B3236D"/>
    <w:rsid w:val="00B33755"/>
    <w:rsid w:val="00B37CD4"/>
    <w:rsid w:val="00B40A42"/>
    <w:rsid w:val="00B4524A"/>
    <w:rsid w:val="00B459BB"/>
    <w:rsid w:val="00B523DF"/>
    <w:rsid w:val="00B5308E"/>
    <w:rsid w:val="00B549F2"/>
    <w:rsid w:val="00B55312"/>
    <w:rsid w:val="00B56BF9"/>
    <w:rsid w:val="00B60ED6"/>
    <w:rsid w:val="00B615AE"/>
    <w:rsid w:val="00B651FC"/>
    <w:rsid w:val="00B70D35"/>
    <w:rsid w:val="00B71DEA"/>
    <w:rsid w:val="00B8227A"/>
    <w:rsid w:val="00B82447"/>
    <w:rsid w:val="00B861A5"/>
    <w:rsid w:val="00B90B6E"/>
    <w:rsid w:val="00B91DDD"/>
    <w:rsid w:val="00B94B73"/>
    <w:rsid w:val="00B96CB2"/>
    <w:rsid w:val="00BA3090"/>
    <w:rsid w:val="00BA7126"/>
    <w:rsid w:val="00BB017E"/>
    <w:rsid w:val="00BB29EB"/>
    <w:rsid w:val="00BB5824"/>
    <w:rsid w:val="00BC65CA"/>
    <w:rsid w:val="00BC71CA"/>
    <w:rsid w:val="00BD169A"/>
    <w:rsid w:val="00BD1B2E"/>
    <w:rsid w:val="00BD2498"/>
    <w:rsid w:val="00BD25E8"/>
    <w:rsid w:val="00BD64B7"/>
    <w:rsid w:val="00BD7158"/>
    <w:rsid w:val="00BE58C3"/>
    <w:rsid w:val="00BE5D38"/>
    <w:rsid w:val="00BE75A8"/>
    <w:rsid w:val="00BF0DE6"/>
    <w:rsid w:val="00BF1E8A"/>
    <w:rsid w:val="00BF3B68"/>
    <w:rsid w:val="00BF3F39"/>
    <w:rsid w:val="00BF64C0"/>
    <w:rsid w:val="00C01112"/>
    <w:rsid w:val="00C12529"/>
    <w:rsid w:val="00C13FCD"/>
    <w:rsid w:val="00C17F62"/>
    <w:rsid w:val="00C20868"/>
    <w:rsid w:val="00C221AE"/>
    <w:rsid w:val="00C27D16"/>
    <w:rsid w:val="00C337E6"/>
    <w:rsid w:val="00C37CEB"/>
    <w:rsid w:val="00C4382C"/>
    <w:rsid w:val="00C4477F"/>
    <w:rsid w:val="00C447EB"/>
    <w:rsid w:val="00C500F3"/>
    <w:rsid w:val="00C50A1B"/>
    <w:rsid w:val="00C527A8"/>
    <w:rsid w:val="00C57818"/>
    <w:rsid w:val="00C61F39"/>
    <w:rsid w:val="00C6424F"/>
    <w:rsid w:val="00C650CB"/>
    <w:rsid w:val="00C6751E"/>
    <w:rsid w:val="00C67A4F"/>
    <w:rsid w:val="00C75426"/>
    <w:rsid w:val="00C758D5"/>
    <w:rsid w:val="00C83FE2"/>
    <w:rsid w:val="00C84656"/>
    <w:rsid w:val="00C85B8E"/>
    <w:rsid w:val="00C86FBF"/>
    <w:rsid w:val="00C902DF"/>
    <w:rsid w:val="00C93385"/>
    <w:rsid w:val="00C97888"/>
    <w:rsid w:val="00CA2283"/>
    <w:rsid w:val="00CA6416"/>
    <w:rsid w:val="00CA729D"/>
    <w:rsid w:val="00CA7DA4"/>
    <w:rsid w:val="00CB5109"/>
    <w:rsid w:val="00CB5171"/>
    <w:rsid w:val="00CB7CCB"/>
    <w:rsid w:val="00CC0F24"/>
    <w:rsid w:val="00CC37B1"/>
    <w:rsid w:val="00CC636F"/>
    <w:rsid w:val="00CD1BAE"/>
    <w:rsid w:val="00CD2677"/>
    <w:rsid w:val="00CD4F6C"/>
    <w:rsid w:val="00CD6BE0"/>
    <w:rsid w:val="00CD6F6B"/>
    <w:rsid w:val="00CE3342"/>
    <w:rsid w:val="00CF4BF1"/>
    <w:rsid w:val="00D02325"/>
    <w:rsid w:val="00D0664E"/>
    <w:rsid w:val="00D1252E"/>
    <w:rsid w:val="00D12A8A"/>
    <w:rsid w:val="00D21CF4"/>
    <w:rsid w:val="00D259B1"/>
    <w:rsid w:val="00D3271D"/>
    <w:rsid w:val="00D329D3"/>
    <w:rsid w:val="00D41263"/>
    <w:rsid w:val="00D427EE"/>
    <w:rsid w:val="00D47AFD"/>
    <w:rsid w:val="00D56D54"/>
    <w:rsid w:val="00D665A8"/>
    <w:rsid w:val="00D70C60"/>
    <w:rsid w:val="00D77CD8"/>
    <w:rsid w:val="00D83877"/>
    <w:rsid w:val="00D8703C"/>
    <w:rsid w:val="00D906B6"/>
    <w:rsid w:val="00D95EDB"/>
    <w:rsid w:val="00D96064"/>
    <w:rsid w:val="00D96520"/>
    <w:rsid w:val="00DA68C9"/>
    <w:rsid w:val="00DB1B6B"/>
    <w:rsid w:val="00DB1D60"/>
    <w:rsid w:val="00DB34EF"/>
    <w:rsid w:val="00DB36DB"/>
    <w:rsid w:val="00DB539B"/>
    <w:rsid w:val="00DC2E09"/>
    <w:rsid w:val="00DC4E8F"/>
    <w:rsid w:val="00DD7214"/>
    <w:rsid w:val="00DE4513"/>
    <w:rsid w:val="00DE772D"/>
    <w:rsid w:val="00DF777C"/>
    <w:rsid w:val="00E02A19"/>
    <w:rsid w:val="00E02E74"/>
    <w:rsid w:val="00E0693E"/>
    <w:rsid w:val="00E06F92"/>
    <w:rsid w:val="00E11297"/>
    <w:rsid w:val="00E15C4B"/>
    <w:rsid w:val="00E17381"/>
    <w:rsid w:val="00E21EDD"/>
    <w:rsid w:val="00E236B1"/>
    <w:rsid w:val="00E24D7A"/>
    <w:rsid w:val="00E24DD4"/>
    <w:rsid w:val="00E30F7E"/>
    <w:rsid w:val="00E33F9C"/>
    <w:rsid w:val="00E41A44"/>
    <w:rsid w:val="00E46D79"/>
    <w:rsid w:val="00E528F3"/>
    <w:rsid w:val="00E6204F"/>
    <w:rsid w:val="00E62B45"/>
    <w:rsid w:val="00E644F6"/>
    <w:rsid w:val="00E66CA7"/>
    <w:rsid w:val="00E73157"/>
    <w:rsid w:val="00E756D6"/>
    <w:rsid w:val="00E80EF2"/>
    <w:rsid w:val="00E81605"/>
    <w:rsid w:val="00E816A9"/>
    <w:rsid w:val="00E83242"/>
    <w:rsid w:val="00E8570B"/>
    <w:rsid w:val="00E9618D"/>
    <w:rsid w:val="00E96307"/>
    <w:rsid w:val="00EB27EF"/>
    <w:rsid w:val="00EC0D6E"/>
    <w:rsid w:val="00EC1EE4"/>
    <w:rsid w:val="00EC2A16"/>
    <w:rsid w:val="00EC47BF"/>
    <w:rsid w:val="00ED6BF7"/>
    <w:rsid w:val="00ED76D7"/>
    <w:rsid w:val="00EE0F7E"/>
    <w:rsid w:val="00EE1B92"/>
    <w:rsid w:val="00EE1DC1"/>
    <w:rsid w:val="00EE42E5"/>
    <w:rsid w:val="00EE49BA"/>
    <w:rsid w:val="00EE7533"/>
    <w:rsid w:val="00EF4547"/>
    <w:rsid w:val="00EF55BD"/>
    <w:rsid w:val="00EF72AB"/>
    <w:rsid w:val="00F04E70"/>
    <w:rsid w:val="00F05774"/>
    <w:rsid w:val="00F05BF5"/>
    <w:rsid w:val="00F06550"/>
    <w:rsid w:val="00F10D31"/>
    <w:rsid w:val="00F1134B"/>
    <w:rsid w:val="00F16D7D"/>
    <w:rsid w:val="00F1718D"/>
    <w:rsid w:val="00F211BF"/>
    <w:rsid w:val="00F21EDB"/>
    <w:rsid w:val="00F26640"/>
    <w:rsid w:val="00F334C2"/>
    <w:rsid w:val="00F348DD"/>
    <w:rsid w:val="00F357D9"/>
    <w:rsid w:val="00F36D5B"/>
    <w:rsid w:val="00F41682"/>
    <w:rsid w:val="00F45EFC"/>
    <w:rsid w:val="00F46E49"/>
    <w:rsid w:val="00F47462"/>
    <w:rsid w:val="00F54BE1"/>
    <w:rsid w:val="00F550CB"/>
    <w:rsid w:val="00F57703"/>
    <w:rsid w:val="00F60630"/>
    <w:rsid w:val="00F622CF"/>
    <w:rsid w:val="00F71253"/>
    <w:rsid w:val="00F74F5D"/>
    <w:rsid w:val="00F768F6"/>
    <w:rsid w:val="00F840EC"/>
    <w:rsid w:val="00F86D03"/>
    <w:rsid w:val="00F933DD"/>
    <w:rsid w:val="00F939BE"/>
    <w:rsid w:val="00F97191"/>
    <w:rsid w:val="00F97527"/>
    <w:rsid w:val="00FA0FCA"/>
    <w:rsid w:val="00FA2B5F"/>
    <w:rsid w:val="00FA2EB6"/>
    <w:rsid w:val="00FB112B"/>
    <w:rsid w:val="00FB333F"/>
    <w:rsid w:val="00FB48CB"/>
    <w:rsid w:val="00FC10AE"/>
    <w:rsid w:val="00FC617B"/>
    <w:rsid w:val="00FD06C5"/>
    <w:rsid w:val="00FD1492"/>
    <w:rsid w:val="00FD20A2"/>
    <w:rsid w:val="00FD2CD8"/>
    <w:rsid w:val="00FD42FA"/>
    <w:rsid w:val="00FD6229"/>
    <w:rsid w:val="00FD7543"/>
    <w:rsid w:val="00FE0FC6"/>
    <w:rsid w:val="00FF1A2B"/>
    <w:rsid w:val="00FF35DB"/>
    <w:rsid w:val="00FF3B0C"/>
    <w:rsid w:val="00FF5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E9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C25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51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E1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C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D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6D5E"/>
  </w:style>
  <w:style w:type="character" w:customStyle="1" w:styleId="CommentTextChar">
    <w:name w:val="Comment Text Char"/>
    <w:basedOn w:val="DefaultParagraphFont"/>
    <w:link w:val="CommentText"/>
    <w:uiPriority w:val="99"/>
    <w:rsid w:val="00076D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5E"/>
    <w:rPr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D60C0B"/>
    <w:rPr>
      <w:sz w:val="24"/>
      <w:szCs w:val="24"/>
    </w:rPr>
  </w:style>
  <w:style w:type="character" w:customStyle="1" w:styleId="hithilite">
    <w:name w:val="hithilite"/>
    <w:basedOn w:val="DefaultParagraphFont"/>
    <w:rsid w:val="00ED3234"/>
  </w:style>
  <w:style w:type="character" w:customStyle="1" w:styleId="databold">
    <w:name w:val="data_bold"/>
    <w:basedOn w:val="DefaultParagraphFont"/>
    <w:rsid w:val="00ED3234"/>
  </w:style>
  <w:style w:type="table" w:styleId="TableGrid">
    <w:name w:val="Table Grid"/>
    <w:basedOn w:val="TableNormal"/>
    <w:uiPriority w:val="59"/>
    <w:rsid w:val="00DB2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ref">
    <w:name w:val="articleref"/>
    <w:basedOn w:val="Normal"/>
    <w:rsid w:val="00D7514F"/>
    <w:pPr>
      <w:spacing w:after="240" w:line="240" w:lineRule="auto"/>
    </w:pPr>
    <w:rPr>
      <w:rFonts w:ascii="Verdana" w:eastAsia="Times New Roman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D7514F"/>
    <w:pPr>
      <w:spacing w:before="120" w:after="60" w:line="240" w:lineRule="auto"/>
    </w:pPr>
    <w:rPr>
      <w:rFonts w:ascii="Verdana" w:eastAsia="Times New Roman" w:hAnsi="Verdana"/>
      <w:color w:val="231F20"/>
      <w:sz w:val="20"/>
      <w:szCs w:val="20"/>
    </w:rPr>
  </w:style>
  <w:style w:type="paragraph" w:styleId="Caption">
    <w:name w:val="caption"/>
    <w:basedOn w:val="Normal"/>
    <w:next w:val="Normal"/>
    <w:qFormat/>
    <w:rsid w:val="00415EF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44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6"/>
    <w:rPr>
      <w:sz w:val="24"/>
      <w:szCs w:val="24"/>
    </w:rPr>
  </w:style>
  <w:style w:type="character" w:customStyle="1" w:styleId="warning">
    <w:name w:val="warning"/>
    <w:basedOn w:val="DefaultParagraphFont"/>
    <w:rsid w:val="00A41761"/>
  </w:style>
  <w:style w:type="paragraph" w:styleId="ListParagraph">
    <w:name w:val="List Paragraph"/>
    <w:basedOn w:val="Normal"/>
    <w:qFormat/>
    <w:rsid w:val="005D23DB"/>
    <w:pPr>
      <w:ind w:left="720"/>
      <w:contextualSpacing/>
    </w:pPr>
  </w:style>
  <w:style w:type="character" w:styleId="BookTitle">
    <w:name w:val="Book Title"/>
    <w:basedOn w:val="DefaultParagraphFont"/>
    <w:qFormat/>
    <w:rsid w:val="004D7941"/>
    <w:rPr>
      <w:b/>
      <w:bCs/>
      <w:smallCaps/>
      <w:spacing w:val="5"/>
    </w:rPr>
  </w:style>
  <w:style w:type="character" w:customStyle="1" w:styleId="frlabel">
    <w:name w:val="fr_label"/>
    <w:basedOn w:val="DefaultParagraphFont"/>
    <w:rsid w:val="005D07B5"/>
  </w:style>
  <w:style w:type="character" w:customStyle="1" w:styleId="label">
    <w:name w:val="label"/>
    <w:basedOn w:val="DefaultParagraphFont"/>
    <w:rsid w:val="00D0664E"/>
  </w:style>
  <w:style w:type="character" w:styleId="Emphasis">
    <w:name w:val="Emphasis"/>
    <w:basedOn w:val="DefaultParagraphFont"/>
    <w:uiPriority w:val="20"/>
    <w:qFormat/>
    <w:rsid w:val="009415CF"/>
    <w:rPr>
      <w:b/>
      <w:bCs/>
      <w:i w:val="0"/>
      <w:iCs w:val="0"/>
    </w:rPr>
  </w:style>
  <w:style w:type="character" w:customStyle="1" w:styleId="ft">
    <w:name w:val="ft"/>
    <w:basedOn w:val="DefaultParagraphFont"/>
    <w:rsid w:val="009415CF"/>
  </w:style>
  <w:style w:type="character" w:customStyle="1" w:styleId="gi">
    <w:name w:val="gi"/>
    <w:basedOn w:val="DefaultParagraphFont"/>
    <w:rsid w:val="00EC0D6E"/>
  </w:style>
  <w:style w:type="paragraph" w:styleId="Revision">
    <w:name w:val="Revision"/>
    <w:hidden/>
    <w:rsid w:val="00F86D03"/>
    <w:rPr>
      <w:sz w:val="24"/>
      <w:szCs w:val="24"/>
    </w:rPr>
  </w:style>
  <w:style w:type="character" w:styleId="LineNumber">
    <w:name w:val="line number"/>
    <w:basedOn w:val="DefaultParagraphFont"/>
    <w:rsid w:val="00655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46E95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C25C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151D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E151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1CD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A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E9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D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76D5E"/>
  </w:style>
  <w:style w:type="character" w:customStyle="1" w:styleId="CommentTextChar">
    <w:name w:val="Comment Text Char"/>
    <w:basedOn w:val="DefaultParagraphFont"/>
    <w:link w:val="CommentText"/>
    <w:uiPriority w:val="99"/>
    <w:rsid w:val="00076D5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D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D5E"/>
    <w:rPr>
      <w:b/>
      <w:bCs/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D60C0B"/>
    <w:rPr>
      <w:sz w:val="24"/>
      <w:szCs w:val="24"/>
    </w:rPr>
  </w:style>
  <w:style w:type="character" w:customStyle="1" w:styleId="hithilite">
    <w:name w:val="hithilite"/>
    <w:basedOn w:val="DefaultParagraphFont"/>
    <w:rsid w:val="00ED3234"/>
  </w:style>
  <w:style w:type="character" w:customStyle="1" w:styleId="databold">
    <w:name w:val="data_bold"/>
    <w:basedOn w:val="DefaultParagraphFont"/>
    <w:rsid w:val="00ED3234"/>
  </w:style>
  <w:style w:type="table" w:styleId="TableGrid">
    <w:name w:val="Table Grid"/>
    <w:basedOn w:val="TableNormal"/>
    <w:uiPriority w:val="59"/>
    <w:rsid w:val="00DB20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ref">
    <w:name w:val="articleref"/>
    <w:basedOn w:val="Normal"/>
    <w:rsid w:val="00D7514F"/>
    <w:pPr>
      <w:spacing w:after="240" w:line="240" w:lineRule="auto"/>
    </w:pPr>
    <w:rPr>
      <w:rFonts w:ascii="Verdana" w:eastAsia="Times New Roman" w:hAnsi="Verdana"/>
      <w:color w:val="58595B"/>
      <w:sz w:val="20"/>
      <w:szCs w:val="20"/>
    </w:rPr>
  </w:style>
  <w:style w:type="paragraph" w:customStyle="1" w:styleId="articlecitation">
    <w:name w:val="articlecitation"/>
    <w:basedOn w:val="Normal"/>
    <w:rsid w:val="00D7514F"/>
    <w:pPr>
      <w:spacing w:before="120" w:after="60" w:line="240" w:lineRule="auto"/>
    </w:pPr>
    <w:rPr>
      <w:rFonts w:ascii="Verdana" w:eastAsia="Times New Roman" w:hAnsi="Verdana"/>
      <w:color w:val="231F20"/>
      <w:sz w:val="20"/>
      <w:szCs w:val="20"/>
    </w:rPr>
  </w:style>
  <w:style w:type="paragraph" w:styleId="Caption">
    <w:name w:val="caption"/>
    <w:basedOn w:val="Normal"/>
    <w:next w:val="Normal"/>
    <w:qFormat/>
    <w:rsid w:val="00415EFB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644F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4F6"/>
    <w:rPr>
      <w:sz w:val="24"/>
      <w:szCs w:val="24"/>
    </w:rPr>
  </w:style>
  <w:style w:type="character" w:customStyle="1" w:styleId="warning">
    <w:name w:val="warning"/>
    <w:basedOn w:val="DefaultParagraphFont"/>
    <w:rsid w:val="00A41761"/>
  </w:style>
  <w:style w:type="paragraph" w:styleId="ListParagraph">
    <w:name w:val="List Paragraph"/>
    <w:basedOn w:val="Normal"/>
    <w:qFormat/>
    <w:rsid w:val="005D23DB"/>
    <w:pPr>
      <w:ind w:left="720"/>
      <w:contextualSpacing/>
    </w:pPr>
  </w:style>
  <w:style w:type="character" w:styleId="BookTitle">
    <w:name w:val="Book Title"/>
    <w:basedOn w:val="DefaultParagraphFont"/>
    <w:qFormat/>
    <w:rsid w:val="004D7941"/>
    <w:rPr>
      <w:b/>
      <w:bCs/>
      <w:smallCaps/>
      <w:spacing w:val="5"/>
    </w:rPr>
  </w:style>
  <w:style w:type="character" w:customStyle="1" w:styleId="frlabel">
    <w:name w:val="fr_label"/>
    <w:basedOn w:val="DefaultParagraphFont"/>
    <w:rsid w:val="005D07B5"/>
  </w:style>
  <w:style w:type="character" w:customStyle="1" w:styleId="label">
    <w:name w:val="label"/>
    <w:basedOn w:val="DefaultParagraphFont"/>
    <w:rsid w:val="00D0664E"/>
  </w:style>
  <w:style w:type="character" w:styleId="Emphasis">
    <w:name w:val="Emphasis"/>
    <w:basedOn w:val="DefaultParagraphFont"/>
    <w:uiPriority w:val="20"/>
    <w:qFormat/>
    <w:rsid w:val="009415CF"/>
    <w:rPr>
      <w:b/>
      <w:bCs/>
      <w:i w:val="0"/>
      <w:iCs w:val="0"/>
    </w:rPr>
  </w:style>
  <w:style w:type="character" w:customStyle="1" w:styleId="ft">
    <w:name w:val="ft"/>
    <w:basedOn w:val="DefaultParagraphFont"/>
    <w:rsid w:val="009415CF"/>
  </w:style>
  <w:style w:type="character" w:customStyle="1" w:styleId="gi">
    <w:name w:val="gi"/>
    <w:basedOn w:val="DefaultParagraphFont"/>
    <w:rsid w:val="00EC0D6E"/>
  </w:style>
  <w:style w:type="paragraph" w:styleId="Revision">
    <w:name w:val="Revision"/>
    <w:hidden/>
    <w:rsid w:val="00F86D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3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none" w:sz="0" w:space="0" w:color="auto"/>
          </w:divBdr>
          <w:divsChild>
            <w:div w:id="1257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3324">
                      <w:marLeft w:val="0"/>
                      <w:marRight w:val="0"/>
                      <w:marTop w:val="0"/>
                      <w:marBottom w:val="0"/>
                      <w:divBdr>
                        <w:top w:val="dotted" w:sz="4" w:space="0" w:color="FFFFFF"/>
                        <w:left w:val="dotted" w:sz="4" w:space="3" w:color="FFFFFF"/>
                        <w:bottom w:val="dotted" w:sz="4" w:space="0" w:color="FFFFFF"/>
                        <w:right w:val="dotted" w:sz="4" w:space="3" w:color="FFFFFF"/>
                      </w:divBdr>
                      <w:divsChild>
                        <w:div w:id="5675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05798">
                              <w:marLeft w:val="33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7610">
                                          <w:marLeft w:val="96"/>
                                          <w:marRight w:val="96"/>
                                          <w:marTop w:val="14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6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1775-5BE7-49BD-BBCB-4D19A13A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Byers</dc:creator>
  <cp:lastModifiedBy>Jeb Byers</cp:lastModifiedBy>
  <cp:revision>3</cp:revision>
  <cp:lastPrinted>2012-06-15T13:30:00Z</cp:lastPrinted>
  <dcterms:created xsi:type="dcterms:W3CDTF">2013-01-18T18:05:00Z</dcterms:created>
  <dcterms:modified xsi:type="dcterms:W3CDTF">2013-01-18T18:06:00Z</dcterms:modified>
</cp:coreProperties>
</file>