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4E" w:rsidRDefault="00CF394E" w:rsidP="00CF394E">
      <w:pPr>
        <w:pStyle w:val="Heading1"/>
      </w:pPr>
      <w:r>
        <w:t>Appendix S2</w:t>
      </w:r>
    </w:p>
    <w:p w:rsidR="00CF394E" w:rsidRDefault="00CF394E" w:rsidP="00CF394E">
      <w:pPr>
        <w:pStyle w:val="Heading3"/>
      </w:pPr>
      <w:r>
        <w:t xml:space="preserve">Derivation of the requirement </w:t>
      </w:r>
      <w:proofErr w:type="gramStart"/>
      <w:r>
        <w:t>that  sequestered</w:t>
      </w:r>
      <w:proofErr w:type="gramEnd"/>
      <w:r>
        <w:t xml:space="preserve"> </w:t>
      </w:r>
      <w:proofErr w:type="spellStart"/>
      <w:r>
        <w:t>iRBC</w:t>
      </w:r>
      <w:proofErr w:type="spellEnd"/>
      <w:r w:rsidRPr="00391710">
        <w:t xml:space="preserve"> </w:t>
      </w:r>
      <w:r>
        <w:t>must have</w:t>
      </w:r>
      <w:r w:rsidRPr="00391710">
        <w:t xml:space="preserve"> a growth advantag</w:t>
      </w:r>
      <w:r>
        <w:t xml:space="preserve">e over non-sequestered </w:t>
      </w:r>
      <w:proofErr w:type="spellStart"/>
      <w:r>
        <w:t>iRBC</w:t>
      </w:r>
      <w:proofErr w:type="spellEnd"/>
    </w:p>
    <w:p w:rsidR="00CF394E" w:rsidRPr="00224F54" w:rsidRDefault="00CF394E" w:rsidP="00CF394E"/>
    <w:p w:rsidR="00CF394E" w:rsidRDefault="00CF394E" w:rsidP="00CF394E">
      <w:r>
        <w:t xml:space="preserve">Let </w:t>
      </w:r>
      <w:r>
        <w:rPr>
          <w:i/>
        </w:rPr>
        <w:t>A</w:t>
      </w:r>
      <w:r>
        <w:t xml:space="preserve"> be the “advantage” a parasite has by sequestering, and </w:t>
      </w:r>
      <w:proofErr w:type="gramStart"/>
      <w:r>
        <w:t xml:space="preserve">define </w:t>
      </w:r>
      <w:proofErr w:type="gramEnd"/>
      <w:r>
        <w:rPr>
          <w:noProof/>
          <w:position w:val="-10"/>
          <w:lang w:eastAsia="en-US"/>
        </w:rPr>
        <w:drawing>
          <wp:inline distT="0" distB="0" distL="0" distR="0">
            <wp:extent cx="1490345" cy="203200"/>
            <wp:effectExtent l="0" t="0" r="0" b="0"/>
            <wp:docPr id="28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CF394E" w:rsidRDefault="00CF394E" w:rsidP="00CF394E">
      <w:r>
        <w:t xml:space="preserve">We first consider how the ratio, </w:t>
      </w:r>
      <w:r>
        <w:rPr>
          <w:i/>
        </w:rPr>
        <w:t>R</w:t>
      </w:r>
      <w:r>
        <w:t xml:space="preserve">, changes as the parameter </w:t>
      </w:r>
      <w:proofErr w:type="spellStart"/>
      <w:r>
        <w:t>g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</w:t>
      </w:r>
      <w:r>
        <w:t xml:space="preserve">changes. </w:t>
      </w:r>
      <w:proofErr w:type="gramStart"/>
      <w:r>
        <w:t xml:space="preserve">Let </w:t>
      </w:r>
      <w:proofErr w:type="gramEnd"/>
      <w:r w:rsidRPr="00ED710B">
        <w:rPr>
          <w:position w:val="-10"/>
        </w:rPr>
        <w:object w:dxaOrig="1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16.3pt" o:ole="">
            <v:imagedata r:id="rId5" o:title=""/>
          </v:shape>
          <o:OLEObject Type="Embed" ProgID="Equation.DSMT4" ShapeID="_x0000_i1025" DrawAspect="Content" ObjectID="_1420297046" r:id="rId6"/>
        </w:object>
      </w:r>
      <w:r>
        <w:t xml:space="preserve">. </w:t>
      </w:r>
      <w:proofErr w:type="gramStart"/>
      <w:r>
        <w:t xml:space="preserve">Then when </w:t>
      </w:r>
      <w:r>
        <w:rPr>
          <w:i/>
        </w:rPr>
        <w:t>Z</w:t>
      </w:r>
      <w:r>
        <w:t xml:space="preserve"> increases, </w:t>
      </w:r>
      <w:r>
        <w:rPr>
          <w:i/>
        </w:rPr>
        <w:t>R</w:t>
      </w:r>
      <w:r>
        <w:t xml:space="preserve"> decreases, and </w:t>
      </w:r>
      <w:proofErr w:type="spellStart"/>
      <w:r>
        <w:t>visa</w:t>
      </w:r>
      <w:proofErr w:type="spellEnd"/>
      <w:r>
        <w:t xml:space="preserve">-versa (provided that </w:t>
      </w:r>
      <w:r>
        <w:rPr>
          <w:i/>
        </w:rPr>
        <w:t>s</w:t>
      </w:r>
      <w:r>
        <w:t xml:space="preserve"> remains constant).</w:t>
      </w:r>
      <w:proofErr w:type="gramEnd"/>
      <w:r>
        <w:t xml:space="preserve"> We can establish that:</w:t>
      </w:r>
    </w:p>
    <w:p w:rsidR="00CF394E" w:rsidRDefault="00CF394E" w:rsidP="00CF394E">
      <w:pPr>
        <w:ind w:left="567"/>
      </w:pPr>
      <w:r w:rsidRPr="00ED710B">
        <w:rPr>
          <w:position w:val="-54"/>
        </w:rPr>
        <w:object w:dxaOrig="3460" w:dyaOrig="1220">
          <v:shape id="_x0000_i1026" type="#_x0000_t75" style="width:173.15pt;height:60.85pt" o:ole="">
            <v:imagedata r:id="rId7" o:title=""/>
          </v:shape>
          <o:OLEObject Type="Embed" ProgID="Equation.DSMT4" ShapeID="_x0000_i1026" DrawAspect="Content" ObjectID="_1420297047" r:id="rId8"/>
        </w:object>
      </w:r>
    </w:p>
    <w:p w:rsidR="00CF394E" w:rsidRDefault="00CF394E" w:rsidP="00CF394E">
      <w:proofErr w:type="gramStart"/>
      <w:r>
        <w:t>and</w:t>
      </w:r>
      <w:proofErr w:type="gramEnd"/>
      <w:r>
        <w:t xml:space="preserve"> therefore whenever</w:t>
      </w:r>
    </w:p>
    <w:p w:rsidR="00CF394E" w:rsidRDefault="00CF394E" w:rsidP="00CF394E">
      <w:pPr>
        <w:tabs>
          <w:tab w:val="left" w:pos="1134"/>
          <w:tab w:val="left" w:pos="7938"/>
        </w:tabs>
        <w:ind w:left="567"/>
      </w:pPr>
      <w:r w:rsidRPr="00ED710B">
        <w:rPr>
          <w:position w:val="-24"/>
        </w:rPr>
        <w:object w:dxaOrig="1700" w:dyaOrig="620">
          <v:shape id="_x0000_i1027" type="#_x0000_t75" style="width:84.85pt;height:30.85pt" o:ole="">
            <v:imagedata r:id="rId9" o:title=""/>
          </v:shape>
          <o:OLEObject Type="Embed" ProgID="Equation.DSMT4" ShapeID="_x0000_i1027" DrawAspect="Content" ObjectID="_1420297048" r:id="rId10"/>
        </w:object>
      </w:r>
      <w:r>
        <w:t xml:space="preserve"> </w:t>
      </w:r>
      <w:r>
        <w:tab/>
      </w:r>
      <w:proofErr w:type="gramStart"/>
      <w:r>
        <w:t>S.</w:t>
      </w:r>
      <w:proofErr w:type="gramEnd"/>
      <w:r>
        <w:fldChar w:fldCharType="begin"/>
      </w:r>
      <w:r>
        <w:instrText xml:space="preserve"> SEQ Supp_Eqn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00CF394E" w:rsidRPr="00ED710B" w:rsidRDefault="00CF394E" w:rsidP="00CF394E">
      <w:proofErr w:type="gramStart"/>
      <w:r>
        <w:t>the</w:t>
      </w:r>
      <w:proofErr w:type="gramEnd"/>
      <w:r>
        <w:t xml:space="preserve"> change in </w:t>
      </w:r>
      <w:r>
        <w:rPr>
          <w:i/>
        </w:rPr>
        <w:t>R</w:t>
      </w:r>
      <w:r>
        <w:t xml:space="preserve"> is in the same direction as the change in </w:t>
      </w:r>
      <w:proofErr w:type="spellStart"/>
      <w:r>
        <w:rPr>
          <w:i/>
        </w:rPr>
        <w:t>g</w:t>
      </w:r>
      <w:r>
        <w:rPr>
          <w:i/>
          <w:vertAlign w:val="subscript"/>
        </w:rPr>
        <w:t>t</w:t>
      </w:r>
      <w:proofErr w:type="spellEnd"/>
      <w:r>
        <w:t>.</w:t>
      </w:r>
    </w:p>
    <w:p w:rsidR="00CF394E" w:rsidRDefault="00CF394E" w:rsidP="00CF394E"/>
    <w:p w:rsidR="00CF394E" w:rsidRDefault="00CF394E" w:rsidP="00CF394E">
      <w:pPr>
        <w:tabs>
          <w:tab w:val="left" w:pos="7938"/>
        </w:tabs>
      </w:pPr>
      <w:r>
        <w:t xml:space="preserve">We next consider how the equilibrium growth rate in blood and tissue, </w:t>
      </w:r>
      <w:bookmarkStart w:id="0" w:name="_GoBack"/>
      <w:r w:rsidRPr="00D65124">
        <w:rPr>
          <w:rFonts w:cs="Times New Roman"/>
          <w:i/>
          <w:color w:val="000000"/>
        </w:rPr>
        <w:t>γ</w:t>
      </w:r>
      <w:bookmarkEnd w:id="0"/>
      <w:r>
        <w:t xml:space="preserve">, changes as the parameters </w:t>
      </w:r>
      <w:r>
        <w:rPr>
          <w:i/>
        </w:rPr>
        <w:t xml:space="preserve">r </w:t>
      </w:r>
      <w:r>
        <w:t xml:space="preserve">and </w:t>
      </w:r>
      <w:r>
        <w:rPr>
          <w:i/>
        </w:rPr>
        <w:t>s</w:t>
      </w:r>
      <w:r>
        <w:t xml:space="preserve"> change. We can establish that:</w:t>
      </w:r>
    </w:p>
    <w:p w:rsidR="00CF394E" w:rsidRDefault="00CF394E" w:rsidP="00CF394E">
      <w:pPr>
        <w:tabs>
          <w:tab w:val="left" w:pos="7938"/>
        </w:tabs>
        <w:ind w:left="567"/>
      </w:pPr>
      <w:r w:rsidRPr="007B6FF7">
        <w:rPr>
          <w:position w:val="-86"/>
        </w:rPr>
        <w:object w:dxaOrig="4200" w:dyaOrig="1840">
          <v:shape id="_x0000_i1028" type="#_x0000_t75" style="width:210.85pt;height:93.45pt" o:ole="">
            <v:imagedata r:id="rId11" o:title=""/>
          </v:shape>
          <o:OLEObject Type="Embed" ProgID="Equation.DSMT4" ShapeID="_x0000_i1028" DrawAspect="Content" ObjectID="_1420297049" r:id="rId12"/>
        </w:object>
      </w:r>
      <w:r>
        <w:rPr>
          <w:noProof/>
          <w:position w:val="-80"/>
        </w:rPr>
        <w:t>.</w:t>
      </w:r>
      <w:r w:rsidRPr="00FE1B98">
        <w:t xml:space="preserve"> </w:t>
      </w:r>
      <w:r>
        <w:tab/>
      </w:r>
      <w:bookmarkStart w:id="1" w:name="eq_dGamma"/>
      <w:proofErr w:type="gramStart"/>
      <w:r>
        <w:t>S.</w:t>
      </w:r>
      <w:proofErr w:type="gramEnd"/>
      <w:r>
        <w:fldChar w:fldCharType="begin"/>
      </w:r>
      <w:r>
        <w:instrText xml:space="preserve"> SEQ Supp_Eqn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"/>
    </w:p>
    <w:p w:rsidR="00CF394E" w:rsidRDefault="00CF394E" w:rsidP="00CF394E">
      <w:r>
        <w:t xml:space="preserve">Using equation </w:t>
      </w:r>
      <w:r>
        <w:fldChar w:fldCharType="begin"/>
      </w:r>
      <w:r>
        <w:instrText xml:space="preserve"> REF eq_dGamma \h </w:instrText>
      </w:r>
      <w:r>
        <w:fldChar w:fldCharType="separate"/>
      </w:r>
      <w:r>
        <w:t>S.</w:t>
      </w:r>
      <w:r>
        <w:rPr>
          <w:noProof/>
        </w:rPr>
        <w:t>2</w:t>
      </w:r>
      <w:r>
        <w:fldChar w:fldCharType="end"/>
      </w:r>
      <w:r>
        <w:t xml:space="preserve"> we see that when </w:t>
      </w:r>
      <w:proofErr w:type="gramStart"/>
      <w:r>
        <w:rPr>
          <w:i/>
        </w:rPr>
        <w:t>A</w:t>
      </w:r>
      <w:proofErr w:type="gramEnd"/>
      <w:r>
        <w:t xml:space="preserve"> &lt; 0 then</w:t>
      </w:r>
      <w:r>
        <w:rPr>
          <w:noProof/>
          <w:position w:val="-24"/>
          <w:lang w:eastAsia="en-US"/>
        </w:rPr>
        <w:drawing>
          <wp:inline distT="0" distB="0" distL="0" distR="0">
            <wp:extent cx="245745" cy="398145"/>
            <wp:effectExtent l="0" t="0" r="0" b="0"/>
            <wp:docPr id="6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&gt; 0 and when </w:t>
      </w:r>
      <w:r>
        <w:rPr>
          <w:i/>
        </w:rPr>
        <w:t>A</w:t>
      </w:r>
      <w:r>
        <w:t xml:space="preserve"> &gt; 0 then </w:t>
      </w:r>
      <w:r>
        <w:rPr>
          <w:noProof/>
          <w:position w:val="-24"/>
          <w:lang w:eastAsia="en-US"/>
        </w:rPr>
        <w:drawing>
          <wp:inline distT="0" distB="0" distL="0" distR="0">
            <wp:extent cx="245745" cy="398145"/>
            <wp:effectExtent l="0" t="0" r="0" b="0"/>
            <wp:docPr id="29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&lt; 0. A similar expression can be used to show that when </w:t>
      </w:r>
      <w:r>
        <w:rPr>
          <w:i/>
        </w:rPr>
        <w:t>A</w:t>
      </w:r>
      <w:r>
        <w:t xml:space="preserve"> &lt; 0 then  </w:t>
      </w:r>
      <w:r w:rsidRPr="00740802">
        <w:rPr>
          <w:position w:val="-24"/>
        </w:rPr>
        <w:object w:dxaOrig="380" w:dyaOrig="620">
          <v:shape id="_x0000_i1029" type="#_x0000_t75" style="width:18.85pt;height:30.85pt" o:ole="">
            <v:imagedata r:id="rId14" o:title=""/>
          </v:shape>
          <o:OLEObject Type="Embed" ProgID="Equation.DSMT4" ShapeID="_x0000_i1029" DrawAspect="Content" ObjectID="_1420297050" r:id="rId15"/>
        </w:object>
      </w:r>
      <w:r>
        <w:t xml:space="preserve"> &lt; 0 and when </w:t>
      </w:r>
      <w:r>
        <w:rPr>
          <w:i/>
        </w:rPr>
        <w:t>A</w:t>
      </w:r>
      <w:r>
        <w:t xml:space="preserve"> &gt; 0 then </w:t>
      </w:r>
      <w:r w:rsidRPr="00740802">
        <w:rPr>
          <w:position w:val="-24"/>
        </w:rPr>
        <w:object w:dxaOrig="380" w:dyaOrig="620">
          <v:shape id="_x0000_i1030" type="#_x0000_t75" style="width:18.85pt;height:30.85pt" o:ole="">
            <v:imagedata r:id="rId14" o:title=""/>
          </v:shape>
          <o:OLEObject Type="Embed" ProgID="Equation.DSMT4" ShapeID="_x0000_i1030" DrawAspect="Content" ObjectID="_1420297051" r:id="rId16"/>
        </w:object>
      </w:r>
      <w:r>
        <w:t xml:space="preserve"> &gt; 0. </w:t>
      </w:r>
    </w:p>
    <w:p w:rsidR="00CF394E" w:rsidRPr="00342D0B" w:rsidRDefault="00CF394E" w:rsidP="00CF394E"/>
    <w:p w:rsidR="00CF394E" w:rsidRPr="00703C31" w:rsidRDefault="00CF394E" w:rsidP="00CF394E">
      <w:pPr>
        <w:spacing w:line="240" w:lineRule="auto"/>
        <w:rPr>
          <w:b/>
          <w:bCs/>
          <w:szCs w:val="18"/>
        </w:rPr>
      </w:pPr>
    </w:p>
    <w:p w:rsidR="002D0DC3" w:rsidRDefault="002D0DC3"/>
    <w:sectPr w:rsidR="002D0DC3" w:rsidSect="00607E82">
      <w:headerReference w:type="even" r:id="rId17"/>
      <w:headerReference w:type="default" r:id="rId18"/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90" w:rsidRDefault="00CF394E" w:rsidP="00CB2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D90" w:rsidRDefault="00CF394E" w:rsidP="001D2E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90" w:rsidRDefault="00CF394E" w:rsidP="001D2E0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savePreviewPicture/>
  <w:compat/>
  <w:rsids>
    <w:rsidRoot w:val="00CF394E"/>
    <w:rsid w:val="000915EF"/>
    <w:rsid w:val="002D0DC3"/>
    <w:rsid w:val="00356E19"/>
    <w:rsid w:val="0036150E"/>
    <w:rsid w:val="0043411A"/>
    <w:rsid w:val="00840AA4"/>
    <w:rsid w:val="00CF394E"/>
    <w:rsid w:val="00D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4E"/>
    <w:pPr>
      <w:spacing w:line="360" w:lineRule="auto"/>
    </w:pPr>
    <w:rPr>
      <w:rFonts w:ascii="Times New Roman" w:eastAsiaTheme="minorEastAsia" w:hAnsi="Times New Roman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394E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394E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94E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394E"/>
    <w:rPr>
      <w:rFonts w:ascii="Times New Roman" w:eastAsiaTheme="majorEastAsia" w:hAnsi="Times New Roman" w:cstheme="majorBidi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CF3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94E"/>
    <w:rPr>
      <w:rFonts w:ascii="Times New Roman" w:eastAsiaTheme="minorEastAsia" w:hAnsi="Times New Roman" w:cstheme="minorBidi"/>
      <w:sz w:val="24"/>
      <w:szCs w:val="24"/>
      <w:lang w:eastAsia="ja-JP"/>
    </w:rPr>
  </w:style>
  <w:style w:type="character" w:styleId="PageNumber">
    <w:name w:val="page number"/>
    <w:basedOn w:val="DefaultParagraphFont"/>
    <w:rsid w:val="00CF394E"/>
  </w:style>
  <w:style w:type="paragraph" w:styleId="BalloonText">
    <w:name w:val="Balloon Text"/>
    <w:basedOn w:val="Normal"/>
    <w:link w:val="BalloonTextChar"/>
    <w:uiPriority w:val="99"/>
    <w:semiHidden/>
    <w:unhideWhenUsed/>
    <w:rsid w:val="00CF39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4E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gracemwong</dc:creator>
  <cp:lastModifiedBy>gracemwong</cp:lastModifiedBy>
  <cp:revision>1</cp:revision>
  <dcterms:created xsi:type="dcterms:W3CDTF">2013-01-22T02:10:00Z</dcterms:created>
  <dcterms:modified xsi:type="dcterms:W3CDTF">2013-01-22T02:11:00Z</dcterms:modified>
</cp:coreProperties>
</file>