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BE" w:rsidRPr="00BF0716" w:rsidRDefault="006C01BE">
      <w:pPr>
        <w:spacing w:line="480" w:lineRule="auto"/>
        <w:rPr>
          <w:rFonts w:ascii="Times New Roman" w:hAnsi="Times New Roman"/>
          <w:b/>
          <w:bCs/>
          <w:sz w:val="24"/>
          <w:szCs w:val="24"/>
        </w:rPr>
      </w:pPr>
      <w:r w:rsidRPr="00BF0716">
        <w:rPr>
          <w:rFonts w:ascii="Times New Roman" w:hAnsi="Times New Roman"/>
          <w:b/>
          <w:bCs/>
          <w:sz w:val="24"/>
          <w:szCs w:val="24"/>
        </w:rPr>
        <w:t>Sup</w:t>
      </w:r>
      <w:r w:rsidR="001501A8">
        <w:rPr>
          <w:rFonts w:ascii="Times New Roman" w:hAnsi="Times New Roman" w:hint="eastAsia"/>
          <w:b/>
          <w:bCs/>
          <w:sz w:val="24"/>
          <w:szCs w:val="24"/>
          <w:lang w:eastAsia="ja-JP"/>
        </w:rPr>
        <w:t>porting</w:t>
      </w:r>
      <w:r w:rsidRPr="00BF0716">
        <w:rPr>
          <w:rFonts w:ascii="Times New Roman" w:hAnsi="Times New Roman"/>
          <w:b/>
          <w:bCs/>
          <w:sz w:val="24"/>
          <w:szCs w:val="24"/>
        </w:rPr>
        <w:t xml:space="preserve"> Materials and Methods</w:t>
      </w:r>
      <w:bookmarkStart w:id="0" w:name="_GoBack"/>
      <w:bookmarkEnd w:id="0"/>
    </w:p>
    <w:p w:rsidR="006C01BE" w:rsidRPr="00BF0716" w:rsidRDefault="006C01BE" w:rsidP="00700730">
      <w:pPr>
        <w:spacing w:line="480" w:lineRule="auto"/>
        <w:rPr>
          <w:rFonts w:ascii="Times New Roman" w:hAnsi="Times New Roman"/>
          <w:b/>
          <w:bCs/>
          <w:sz w:val="24"/>
          <w:szCs w:val="24"/>
        </w:rPr>
      </w:pPr>
      <w:r w:rsidRPr="00BF0716">
        <w:rPr>
          <w:rFonts w:ascii="Times New Roman" w:hAnsi="Times New Roman"/>
          <w:b/>
          <w:bCs/>
          <w:i/>
          <w:iCs/>
          <w:sz w:val="24"/>
          <w:szCs w:val="24"/>
        </w:rPr>
        <w:t xml:space="preserve">C. elegans </w:t>
      </w:r>
      <w:r w:rsidRPr="00BF0716">
        <w:rPr>
          <w:rFonts w:ascii="Times New Roman" w:hAnsi="Times New Roman"/>
          <w:b/>
          <w:bCs/>
          <w:iCs/>
          <w:sz w:val="24"/>
          <w:szCs w:val="24"/>
        </w:rPr>
        <w:t>Protocols</w:t>
      </w:r>
      <w:r w:rsidRPr="00BF0716">
        <w:rPr>
          <w:rFonts w:ascii="Times New Roman" w:hAnsi="Times New Roman"/>
          <w:b/>
          <w:bCs/>
          <w:sz w:val="24"/>
          <w:szCs w:val="24"/>
        </w:rPr>
        <w:t xml:space="preserve">. </w:t>
      </w:r>
      <w:r w:rsidRPr="00BF0716">
        <w:rPr>
          <w:rFonts w:ascii="Times New Roman" w:hAnsi="Times New Roman"/>
          <w:bCs/>
          <w:kern w:val="0"/>
          <w:sz w:val="24"/>
          <w:szCs w:val="24"/>
          <w:lang w:eastAsia="ja-JP"/>
        </w:rPr>
        <w:t xml:space="preserve">We used the </w:t>
      </w:r>
      <w:smartTag w:uri="urn:schemas-microsoft-com:office:smarttags" w:element="City">
        <w:smartTag w:uri="urn:schemas-microsoft-com:office:smarttags" w:element="place">
          <w:r w:rsidRPr="00BF0716">
            <w:rPr>
              <w:rFonts w:ascii="Times New Roman" w:hAnsi="Times New Roman"/>
              <w:bCs/>
              <w:kern w:val="0"/>
              <w:sz w:val="24"/>
              <w:szCs w:val="24"/>
              <w:lang w:eastAsia="ja-JP"/>
            </w:rPr>
            <w:t>Bristol</w:t>
          </w:r>
        </w:smartTag>
      </w:smartTag>
      <w:r w:rsidRPr="00BF0716">
        <w:rPr>
          <w:rFonts w:ascii="Times New Roman" w:hAnsi="Times New Roman"/>
          <w:bCs/>
          <w:kern w:val="0"/>
          <w:sz w:val="24"/>
          <w:szCs w:val="24"/>
          <w:lang w:eastAsia="ja-JP"/>
        </w:rPr>
        <w:t xml:space="preserve"> strain (N2) as the wild-type animal. To generate the transgenic lines, DNA solutions (20 ng/</w:t>
      </w:r>
      <w:r w:rsidR="009D1D60">
        <w:rPr>
          <w:rFonts w:ascii="Times New Roman" w:hAnsi="Times New Roman"/>
          <w:bCs/>
          <w:kern w:val="0"/>
          <w:sz w:val="24"/>
          <w:szCs w:val="24"/>
          <w:lang w:eastAsia="ja-JP"/>
        </w:rPr>
        <w:t>μ</w:t>
      </w:r>
      <w:r w:rsidRPr="00BF0716">
        <w:rPr>
          <w:rFonts w:ascii="Times New Roman" w:hAnsi="Times New Roman"/>
          <w:bCs/>
          <w:kern w:val="0"/>
          <w:sz w:val="24"/>
          <w:szCs w:val="24"/>
          <w:lang w:eastAsia="ja-JP"/>
        </w:rPr>
        <w:t xml:space="preserve">l) were co-injected into hermaphrodite gonads along with the marker gcy-8::GFP as described previously (Mello et al, 1991; Yu et al, 1997). We co-injected gcy::GFP together with the vector carrying </w:t>
      </w:r>
      <w:r w:rsidRPr="006C01BE">
        <w:rPr>
          <w:rFonts w:ascii="Times New Roman" w:hAnsi="Times New Roman"/>
          <w:bCs/>
          <w:i/>
          <w:kern w:val="0"/>
          <w:sz w:val="24"/>
          <w:szCs w:val="24"/>
          <w:lang w:eastAsia="ja-JP"/>
        </w:rPr>
        <w:t>shRNA</w:t>
      </w:r>
      <w:r w:rsidRPr="00BF0716">
        <w:rPr>
          <w:rFonts w:ascii="Times New Roman" w:hAnsi="Times New Roman"/>
          <w:bCs/>
          <w:kern w:val="0"/>
          <w:sz w:val="24"/>
          <w:szCs w:val="24"/>
          <w:lang w:eastAsia="ja-JP"/>
        </w:rPr>
        <w:t xml:space="preserve"> for genotyping the transgenic worms. For quick and efficient selection of transgenic worms, we picked up the worms with gcy::GFP in the head (AFD) neurons, since gcy::GFP was brighter than acr2::GFP in ventral motor neurons and easily to distinguish under stereomicroscope. In most of the experiments, other than whole mount </w:t>
      </w:r>
      <w:r w:rsidRPr="00BF0716">
        <w:rPr>
          <w:rFonts w:ascii="Times New Roman" w:hAnsi="Times New Roman"/>
          <w:bCs/>
          <w:i/>
          <w:kern w:val="0"/>
          <w:sz w:val="24"/>
          <w:szCs w:val="24"/>
          <w:lang w:eastAsia="ja-JP"/>
        </w:rPr>
        <w:t>in situ</w:t>
      </w:r>
      <w:r w:rsidRPr="00BF0716">
        <w:rPr>
          <w:rFonts w:ascii="Times New Roman" w:hAnsi="Times New Roman"/>
          <w:bCs/>
          <w:kern w:val="0"/>
          <w:sz w:val="24"/>
          <w:szCs w:val="24"/>
          <w:lang w:eastAsia="ja-JP"/>
        </w:rPr>
        <w:t xml:space="preserve"> hybridization of worms, we selected the worms expressing acr2::</w:t>
      </w:r>
      <w:r w:rsidRPr="00BF0716">
        <w:rPr>
          <w:rFonts w:ascii="Times New Roman" w:hAnsi="Times New Roman"/>
          <w:bCs/>
          <w:i/>
          <w:kern w:val="0"/>
          <w:sz w:val="24"/>
          <w:szCs w:val="24"/>
          <w:lang w:eastAsia="ja-JP"/>
        </w:rPr>
        <w:t>shRNA</w:t>
      </w:r>
      <w:r w:rsidRPr="00BF0716">
        <w:rPr>
          <w:rFonts w:ascii="Times New Roman" w:hAnsi="Times New Roman"/>
          <w:bCs/>
          <w:kern w:val="0"/>
          <w:sz w:val="24"/>
          <w:szCs w:val="24"/>
          <w:lang w:eastAsia="ja-JP"/>
        </w:rPr>
        <w:t xml:space="preserve">::GFP in more than thirty motor neurons. </w:t>
      </w:r>
      <w:r w:rsidRPr="00BF0716">
        <w:rPr>
          <w:rFonts w:ascii="Times New Roman" w:hAnsi="Times New Roman"/>
          <w:sz w:val="24"/>
          <w:szCs w:val="24"/>
          <w:lang w:eastAsia="ja-JP"/>
        </w:rPr>
        <w:t>The person w</w:t>
      </w:r>
      <w:r w:rsidR="003B43C6">
        <w:rPr>
          <w:rFonts w:ascii="Times New Roman" w:hAnsi="Times New Roman"/>
          <w:sz w:val="24"/>
          <w:szCs w:val="24"/>
          <w:lang w:eastAsia="ja-JP"/>
        </w:rPr>
        <w:t>ho performed this selection (K</w:t>
      </w:r>
      <w:r w:rsidR="003B43C6">
        <w:rPr>
          <w:rFonts w:ascii="Times New Roman" w:hAnsi="Times New Roman" w:hint="eastAsia"/>
          <w:sz w:val="24"/>
          <w:szCs w:val="24"/>
          <w:lang w:eastAsia="ja-JP"/>
        </w:rPr>
        <w:t>aori Kawai</w:t>
      </w:r>
      <w:r w:rsidRPr="00BF0716">
        <w:rPr>
          <w:rFonts w:ascii="Times New Roman" w:hAnsi="Times New Roman"/>
          <w:sz w:val="24"/>
          <w:szCs w:val="24"/>
          <w:lang w:eastAsia="ja-JP"/>
        </w:rPr>
        <w:t xml:space="preserve">) was blinded to the genotype of the animal and was different from the person who performed analysis (K.I.). </w:t>
      </w:r>
      <w:r w:rsidRPr="00BF0716">
        <w:rPr>
          <w:rFonts w:ascii="Times New Roman" w:hAnsi="Times New Roman"/>
          <w:bCs/>
          <w:kern w:val="0"/>
          <w:sz w:val="24"/>
          <w:szCs w:val="24"/>
          <w:lang w:eastAsia="ja-JP"/>
        </w:rPr>
        <w:t xml:space="preserve">Double transgenic worms were obtained by co-injecting two plasmids containing different fluorescent proteins. In the experiments that required large quantities of synchronized </w:t>
      </w:r>
      <w:r w:rsidRPr="00BF0716">
        <w:rPr>
          <w:rFonts w:ascii="Times New Roman" w:hAnsi="Times New Roman"/>
          <w:bCs/>
          <w:i/>
          <w:kern w:val="0"/>
          <w:sz w:val="24"/>
          <w:szCs w:val="24"/>
          <w:lang w:eastAsia="ja-JP"/>
        </w:rPr>
        <w:t>C. elegans</w:t>
      </w:r>
      <w:r w:rsidRPr="00BF0716">
        <w:rPr>
          <w:rFonts w:ascii="Times New Roman" w:hAnsi="Times New Roman"/>
          <w:bCs/>
          <w:kern w:val="0"/>
          <w:sz w:val="24"/>
          <w:szCs w:val="24"/>
          <w:lang w:eastAsia="ja-JP"/>
        </w:rPr>
        <w:t xml:space="preserve"> or primary cultured neurons from </w:t>
      </w:r>
      <w:r w:rsidRPr="00BF0716">
        <w:rPr>
          <w:rFonts w:ascii="Times New Roman" w:hAnsi="Times New Roman"/>
          <w:bCs/>
          <w:i/>
          <w:kern w:val="0"/>
          <w:sz w:val="24"/>
          <w:szCs w:val="24"/>
          <w:lang w:eastAsia="ja-JP"/>
        </w:rPr>
        <w:t>C. elegans</w:t>
      </w:r>
      <w:r w:rsidRPr="00BF0716">
        <w:rPr>
          <w:rFonts w:ascii="Times New Roman" w:hAnsi="Times New Roman"/>
          <w:bCs/>
          <w:kern w:val="0"/>
          <w:sz w:val="24"/>
          <w:szCs w:val="24"/>
          <w:lang w:eastAsia="ja-JP"/>
        </w:rPr>
        <w:t>, we cultured the</w:t>
      </w:r>
      <w:r w:rsidRPr="00BF0716">
        <w:rPr>
          <w:rFonts w:ascii="Times New Roman" w:hAnsi="Times New Roman"/>
          <w:b/>
          <w:kern w:val="0"/>
          <w:sz w:val="24"/>
          <w:szCs w:val="24"/>
          <w:lang w:eastAsia="ja-JP"/>
        </w:rPr>
        <w:t xml:space="preserve"> </w:t>
      </w:r>
      <w:r w:rsidRPr="00BF0716">
        <w:rPr>
          <w:rFonts w:ascii="Times New Roman" w:hAnsi="Times New Roman"/>
          <w:bCs/>
          <w:kern w:val="0"/>
          <w:sz w:val="24"/>
          <w:szCs w:val="24"/>
          <w:lang w:eastAsia="ja-JP"/>
        </w:rPr>
        <w:t>worms in liquid medium (S basal medium with concentrated OP50) as described previously (Stiernagle, 2006).</w:t>
      </w:r>
    </w:p>
    <w:p w:rsidR="006C01BE" w:rsidRPr="00BF0716" w:rsidRDefault="006C01BE">
      <w:pPr>
        <w:spacing w:line="480" w:lineRule="auto"/>
        <w:rPr>
          <w:rFonts w:ascii="Times New Roman" w:hAnsi="Times New Roman"/>
          <w:b/>
          <w:bCs/>
          <w:iCs/>
          <w:sz w:val="24"/>
          <w:szCs w:val="24"/>
        </w:rPr>
      </w:pPr>
    </w:p>
    <w:p w:rsidR="006C01BE" w:rsidRPr="00BF0716" w:rsidRDefault="006C01BE" w:rsidP="00154BE3">
      <w:pPr>
        <w:adjustRightInd w:val="0"/>
        <w:spacing w:line="480" w:lineRule="auto"/>
        <w:jc w:val="left"/>
        <w:rPr>
          <w:rFonts w:ascii="Times New Roman" w:hAnsi="Times New Roman"/>
          <w:bCs/>
          <w:iCs/>
          <w:sz w:val="24"/>
          <w:szCs w:val="24"/>
        </w:rPr>
      </w:pPr>
      <w:r w:rsidRPr="00BF0716">
        <w:rPr>
          <w:rFonts w:ascii="Times New Roman" w:hAnsi="Times New Roman"/>
          <w:b/>
          <w:bCs/>
          <w:iCs/>
          <w:sz w:val="24"/>
          <w:szCs w:val="24"/>
        </w:rPr>
        <w:lastRenderedPageBreak/>
        <w:t xml:space="preserve">Constructs and </w:t>
      </w:r>
      <w:r w:rsidRPr="00BF0716">
        <w:rPr>
          <w:rFonts w:ascii="Times New Roman" w:hAnsi="Times New Roman"/>
          <w:b/>
          <w:bCs/>
          <w:i/>
          <w:iCs/>
          <w:sz w:val="24"/>
          <w:szCs w:val="24"/>
        </w:rPr>
        <w:t>C. elegans</w:t>
      </w:r>
      <w:r w:rsidRPr="00BF0716">
        <w:rPr>
          <w:rFonts w:ascii="Times New Roman" w:hAnsi="Times New Roman"/>
          <w:b/>
          <w:bCs/>
          <w:iCs/>
          <w:sz w:val="24"/>
          <w:szCs w:val="24"/>
        </w:rPr>
        <w:t xml:space="preserve"> Strains.</w:t>
      </w:r>
      <w:r w:rsidRPr="00BF0716">
        <w:rPr>
          <w:rFonts w:ascii="Times New Roman" w:hAnsi="Times New Roman"/>
          <w:bCs/>
          <w:iCs/>
          <w:sz w:val="24"/>
          <w:szCs w:val="24"/>
        </w:rPr>
        <w:t xml:space="preserve"> The shRNAs were designed based on the following sequences: scrambled (control) shRNA-set1, (5</w:t>
      </w:r>
      <w:r w:rsidRPr="00BF0716">
        <w:rPr>
          <w:rFonts w:ascii="Times New Roman" w:hAnsi="Times New Roman" w:hint="eastAsia"/>
          <w:bCs/>
          <w:iCs/>
          <w:sz w:val="24"/>
          <w:szCs w:val="24"/>
        </w:rPr>
        <w:t>′</w:t>
      </w:r>
      <w:r w:rsidRPr="00BF0716">
        <w:rPr>
          <w:rFonts w:ascii="Times New Roman" w:hAnsi="Times New Roman"/>
          <w:bCs/>
          <w:iCs/>
          <w:sz w:val="24"/>
          <w:szCs w:val="24"/>
        </w:rPr>
        <w:t>-AACGGCGGATTGACCGTA-3</w:t>
      </w:r>
      <w:r w:rsidRPr="00BF0716">
        <w:rPr>
          <w:rFonts w:ascii="Times New Roman" w:hAnsi="Times New Roman" w:hint="eastAsia"/>
          <w:bCs/>
          <w:iCs/>
          <w:sz w:val="24"/>
          <w:szCs w:val="24"/>
        </w:rPr>
        <w:t>′</w:t>
      </w:r>
      <w:r w:rsidRPr="00BF0716">
        <w:rPr>
          <w:rFonts w:ascii="Times New Roman" w:hAnsi="Times New Roman"/>
          <w:bCs/>
          <w:iCs/>
          <w:sz w:val="24"/>
          <w:szCs w:val="24"/>
        </w:rPr>
        <w:t xml:space="preserve">); </w:t>
      </w:r>
      <w:r w:rsidRPr="006C01BE">
        <w:rPr>
          <w:rFonts w:ascii="Times New Roman" w:hAnsi="Times New Roman"/>
          <w:bCs/>
          <w:i/>
          <w:iCs/>
          <w:sz w:val="24"/>
          <w:szCs w:val="24"/>
        </w:rPr>
        <w:t>dnc-1 siRNA</w:t>
      </w:r>
      <w:r w:rsidRPr="00BF0716">
        <w:rPr>
          <w:rFonts w:ascii="Times New Roman" w:hAnsi="Times New Roman"/>
          <w:bCs/>
          <w:iCs/>
          <w:sz w:val="24"/>
          <w:szCs w:val="24"/>
        </w:rPr>
        <w:t>-1(101), (5</w:t>
      </w:r>
      <w:r w:rsidRPr="00BF0716">
        <w:rPr>
          <w:rFonts w:ascii="Times New Roman" w:hAnsi="Times New Roman" w:hint="eastAsia"/>
          <w:bCs/>
          <w:iCs/>
          <w:sz w:val="24"/>
          <w:szCs w:val="24"/>
        </w:rPr>
        <w:t>′</w:t>
      </w:r>
      <w:r w:rsidRPr="00BF0716">
        <w:rPr>
          <w:rFonts w:ascii="Times New Roman" w:hAnsi="Times New Roman"/>
          <w:bCs/>
          <w:iCs/>
          <w:sz w:val="24"/>
          <w:szCs w:val="24"/>
        </w:rPr>
        <w:t>-ATCACTCCAACCCAATCACC-3</w:t>
      </w:r>
      <w:r w:rsidRPr="00BF0716">
        <w:rPr>
          <w:rFonts w:ascii="Times New Roman" w:hAnsi="Times New Roman" w:hint="eastAsia"/>
          <w:bCs/>
          <w:iCs/>
          <w:sz w:val="24"/>
          <w:szCs w:val="24"/>
        </w:rPr>
        <w:t>′</w:t>
      </w:r>
      <w:r w:rsidRPr="00BF0716">
        <w:rPr>
          <w:rFonts w:ascii="Times New Roman" w:hAnsi="Times New Roman"/>
          <w:bCs/>
          <w:iCs/>
          <w:sz w:val="24"/>
          <w:szCs w:val="24"/>
        </w:rPr>
        <w:t>); and</w:t>
      </w:r>
      <w:r w:rsidRPr="006C01BE">
        <w:rPr>
          <w:rFonts w:ascii="Times New Roman" w:hAnsi="Times New Roman"/>
          <w:bCs/>
          <w:i/>
          <w:iCs/>
          <w:sz w:val="24"/>
          <w:szCs w:val="24"/>
        </w:rPr>
        <w:t xml:space="preserve"> dnc-1</w:t>
      </w:r>
      <w:r w:rsidRPr="00BF0716">
        <w:rPr>
          <w:rFonts w:ascii="Times New Roman" w:hAnsi="Times New Roman"/>
          <w:bCs/>
          <w:iCs/>
          <w:sz w:val="24"/>
          <w:szCs w:val="24"/>
        </w:rPr>
        <w:t>-</w:t>
      </w:r>
      <w:r w:rsidRPr="006C01BE">
        <w:rPr>
          <w:rFonts w:ascii="Times New Roman" w:hAnsi="Times New Roman"/>
          <w:bCs/>
          <w:i/>
          <w:iCs/>
          <w:sz w:val="24"/>
          <w:szCs w:val="24"/>
        </w:rPr>
        <w:t>siRNA</w:t>
      </w:r>
      <w:r w:rsidRPr="00BF0716">
        <w:rPr>
          <w:rFonts w:ascii="Times New Roman" w:hAnsi="Times New Roman"/>
          <w:bCs/>
          <w:iCs/>
          <w:sz w:val="24"/>
          <w:szCs w:val="24"/>
        </w:rPr>
        <w:t>-2 (2888), (5</w:t>
      </w:r>
      <w:r w:rsidRPr="00BF0716">
        <w:rPr>
          <w:rFonts w:ascii="Times New Roman" w:hAnsi="Times New Roman" w:hint="eastAsia"/>
          <w:bCs/>
          <w:iCs/>
          <w:sz w:val="24"/>
          <w:szCs w:val="24"/>
        </w:rPr>
        <w:t>′</w:t>
      </w:r>
      <w:r w:rsidRPr="00BF0716">
        <w:rPr>
          <w:rFonts w:ascii="Times New Roman" w:hAnsi="Times New Roman"/>
          <w:bCs/>
          <w:iCs/>
          <w:sz w:val="24"/>
          <w:szCs w:val="24"/>
        </w:rPr>
        <w:t>-TACCCATCCTGCTTGCCAAG -3</w:t>
      </w:r>
      <w:r w:rsidRPr="00BF0716">
        <w:rPr>
          <w:rFonts w:ascii="Times New Roman" w:hAnsi="Times New Roman" w:hint="eastAsia"/>
          <w:bCs/>
          <w:iCs/>
          <w:sz w:val="24"/>
          <w:szCs w:val="24"/>
        </w:rPr>
        <w:t>′</w:t>
      </w:r>
      <w:r w:rsidRPr="00BF0716">
        <w:rPr>
          <w:rFonts w:ascii="Times New Roman" w:hAnsi="Times New Roman"/>
          <w:bCs/>
          <w:iCs/>
          <w:sz w:val="24"/>
          <w:szCs w:val="24"/>
        </w:rPr>
        <w:t>). Each shRNA contained the loop structure, (5</w:t>
      </w:r>
      <w:r w:rsidRPr="00BF0716">
        <w:rPr>
          <w:rFonts w:ascii="Times New Roman" w:hAnsi="Times New Roman" w:hint="eastAsia"/>
          <w:bCs/>
          <w:iCs/>
          <w:sz w:val="24"/>
          <w:szCs w:val="24"/>
        </w:rPr>
        <w:t>′</w:t>
      </w:r>
      <w:r w:rsidRPr="00BF0716">
        <w:rPr>
          <w:rFonts w:ascii="Times New Roman" w:hAnsi="Times New Roman"/>
          <w:bCs/>
          <w:iCs/>
          <w:sz w:val="24"/>
          <w:szCs w:val="24"/>
        </w:rPr>
        <w:t>-GTTTTGGCCACTGACTGAC-3</w:t>
      </w:r>
      <w:r w:rsidRPr="00BF0716">
        <w:rPr>
          <w:rFonts w:ascii="Times New Roman" w:hAnsi="Times New Roman" w:hint="eastAsia"/>
          <w:bCs/>
          <w:iCs/>
          <w:sz w:val="24"/>
          <w:szCs w:val="24"/>
        </w:rPr>
        <w:t>′</w:t>
      </w:r>
      <w:r w:rsidRPr="00BF0716">
        <w:rPr>
          <w:rFonts w:ascii="Times New Roman" w:hAnsi="Times New Roman"/>
          <w:bCs/>
          <w:iCs/>
          <w:sz w:val="24"/>
          <w:szCs w:val="24"/>
        </w:rPr>
        <w:t xml:space="preserve">). </w:t>
      </w:r>
    </w:p>
    <w:p w:rsidR="006C01BE" w:rsidRPr="00154BE3" w:rsidRDefault="006C01BE" w:rsidP="00154BE3">
      <w:pPr>
        <w:adjustRightInd w:val="0"/>
        <w:spacing w:line="480" w:lineRule="auto"/>
        <w:jc w:val="left"/>
        <w:rPr>
          <w:rFonts w:ascii="Times New Roman" w:hAnsi="Times New Roman"/>
          <w:bCs/>
          <w:iCs/>
          <w:sz w:val="24"/>
          <w:szCs w:val="24"/>
        </w:rPr>
      </w:pPr>
      <w:r w:rsidRPr="00BF0716">
        <w:rPr>
          <w:rFonts w:ascii="Times New Roman" w:hAnsi="Times New Roman"/>
          <w:bCs/>
          <w:iCs/>
          <w:sz w:val="24"/>
          <w:szCs w:val="24"/>
        </w:rPr>
        <w:t xml:space="preserve"> To generate an ENTRY vector, a BLOCK-iT Pol II miR RNAi expressio</w:t>
      </w:r>
      <w:r w:rsidRPr="00154BE3">
        <w:rPr>
          <w:rFonts w:ascii="Times New Roman" w:hAnsi="Times New Roman"/>
          <w:bCs/>
          <w:iCs/>
          <w:sz w:val="24"/>
          <w:szCs w:val="24"/>
        </w:rPr>
        <w:t>n vector kit with EmGFP (Invitrogen) was used according to the manufacturer’s instructions. These vectors were cloned into the pDONR 221 vector and then subcloned into the destination vector (Dest_acr2p). Dest_acr2p was designed by converting pOKU23_acr2p into a Gateway® destination vector. After injecting these constructs into the gonads, we generated the following C. elegans strains: SBG7, 8, and 15 N2; Ex[</w:t>
      </w:r>
      <w:r w:rsidRPr="003B78ED">
        <w:rPr>
          <w:rFonts w:ascii="Times New Roman" w:hAnsi="Times New Roman"/>
          <w:bCs/>
          <w:iCs/>
          <w:sz w:val="24"/>
          <w:szCs w:val="24"/>
        </w:rPr>
        <w:t>acr2 promoter::</w:t>
      </w:r>
      <w:r w:rsidRPr="006C01BE">
        <w:rPr>
          <w:rFonts w:ascii="Times New Roman" w:hAnsi="Times New Roman"/>
          <w:bCs/>
          <w:i/>
          <w:iCs/>
          <w:sz w:val="24"/>
          <w:szCs w:val="24"/>
        </w:rPr>
        <w:t>dnc-1 (RNAi-1)::gfp</w:t>
      </w:r>
      <w:r w:rsidRPr="00154BE3">
        <w:rPr>
          <w:rFonts w:ascii="Times New Roman" w:hAnsi="Times New Roman"/>
          <w:bCs/>
          <w:iCs/>
          <w:sz w:val="24"/>
          <w:szCs w:val="24"/>
        </w:rPr>
        <w:t>] and SBG20, 24, and 25 N2; Ex[</w:t>
      </w:r>
      <w:r w:rsidRPr="003B78ED">
        <w:rPr>
          <w:rFonts w:ascii="Times New Roman" w:hAnsi="Times New Roman"/>
          <w:bCs/>
          <w:iCs/>
          <w:sz w:val="24"/>
          <w:szCs w:val="24"/>
        </w:rPr>
        <w:t>acr-2 promotor</w:t>
      </w:r>
      <w:r w:rsidRPr="006C01BE">
        <w:rPr>
          <w:rFonts w:ascii="Times New Roman" w:hAnsi="Times New Roman"/>
          <w:bCs/>
          <w:i/>
          <w:iCs/>
          <w:sz w:val="24"/>
          <w:szCs w:val="24"/>
        </w:rPr>
        <w:t>::dnc-1 (RNAi-2)::gfp</w:t>
      </w:r>
      <w:r w:rsidRPr="00154BE3">
        <w:rPr>
          <w:rFonts w:ascii="Times New Roman" w:hAnsi="Times New Roman"/>
          <w:bCs/>
          <w:iCs/>
          <w:sz w:val="24"/>
          <w:szCs w:val="24"/>
        </w:rPr>
        <w:t>]. All six lines were used for the survival and body bend assays, and SBG8 was employed for further analysis.</w:t>
      </w:r>
    </w:p>
    <w:p w:rsidR="006C01BE" w:rsidRDefault="006C01BE" w:rsidP="00154BE3">
      <w:pPr>
        <w:adjustRightInd w:val="0"/>
        <w:spacing w:line="480" w:lineRule="auto"/>
        <w:jc w:val="left"/>
        <w:rPr>
          <w:rFonts w:ascii="Times New Roman" w:hAnsi="Times New Roman"/>
          <w:bCs/>
          <w:iCs/>
          <w:sz w:val="24"/>
          <w:szCs w:val="24"/>
          <w:lang w:eastAsia="ja-JP"/>
        </w:rPr>
      </w:pPr>
      <w:r w:rsidRPr="00154BE3">
        <w:rPr>
          <w:rFonts w:ascii="Times New Roman" w:hAnsi="Times New Roman"/>
          <w:bCs/>
          <w:iCs/>
          <w:sz w:val="24"/>
          <w:szCs w:val="24"/>
        </w:rPr>
        <w:t xml:space="preserve"> The SNB-1 (GenBank accession number: NM_072287.3) and Lgg-1 genes (NM_062876.4), without stop codons, were cloned from a C. elegans cDNA library into the Gateway expression vector pENTR/D-TOPO and transferred to Dest-acr2p_DsRed (SNB-1::DsRed, Lgg-1::DsRed).</w:t>
      </w:r>
      <w:r>
        <w:rPr>
          <w:rFonts w:ascii="Times New Roman" w:hAnsi="Times New Roman"/>
          <w:bCs/>
          <w:iCs/>
          <w:sz w:val="24"/>
          <w:szCs w:val="24"/>
          <w:lang w:eastAsia="ja-JP"/>
        </w:rPr>
        <w:t xml:space="preserve"> </w:t>
      </w:r>
    </w:p>
    <w:p w:rsidR="006C01BE" w:rsidRPr="00154BE3" w:rsidRDefault="006C01BE" w:rsidP="00154BE3">
      <w:pPr>
        <w:adjustRightInd w:val="0"/>
        <w:spacing w:line="480" w:lineRule="auto"/>
        <w:jc w:val="left"/>
        <w:rPr>
          <w:rFonts w:ascii="Times New Roman" w:hAnsi="Times New Roman"/>
          <w:b/>
          <w:bCs/>
          <w:sz w:val="24"/>
          <w:szCs w:val="24"/>
          <w:lang w:eastAsia="ja-JP"/>
        </w:rPr>
      </w:pPr>
    </w:p>
    <w:p w:rsidR="006C01BE" w:rsidRDefault="006C01BE">
      <w:pPr>
        <w:spacing w:line="480" w:lineRule="auto"/>
        <w:rPr>
          <w:rFonts w:ascii="Times New Roman" w:hAnsi="Times New Roman"/>
          <w:bCs/>
          <w:sz w:val="24"/>
          <w:szCs w:val="24"/>
          <w:lang w:eastAsia="ja-JP"/>
        </w:rPr>
      </w:pPr>
      <w:r>
        <w:rPr>
          <w:rFonts w:ascii="Times New Roman" w:hAnsi="Times New Roman"/>
          <w:b/>
          <w:bCs/>
          <w:sz w:val="24"/>
          <w:szCs w:val="24"/>
        </w:rPr>
        <w:t xml:space="preserve">Whole Mount </w:t>
      </w:r>
      <w:r>
        <w:rPr>
          <w:rFonts w:ascii="Times New Roman" w:hAnsi="Times New Roman"/>
          <w:b/>
          <w:bCs/>
          <w:i/>
          <w:sz w:val="24"/>
          <w:szCs w:val="24"/>
        </w:rPr>
        <w:t>in situ</w:t>
      </w:r>
      <w:r>
        <w:rPr>
          <w:rFonts w:ascii="Times New Roman" w:hAnsi="Times New Roman"/>
          <w:b/>
          <w:bCs/>
          <w:sz w:val="24"/>
          <w:szCs w:val="24"/>
        </w:rPr>
        <w:t xml:space="preserve"> Hybridization. </w:t>
      </w:r>
      <w:r w:rsidRPr="00E911BD">
        <w:rPr>
          <w:rFonts w:ascii="Times New Roman" w:hAnsi="Times New Roman"/>
          <w:bCs/>
          <w:sz w:val="24"/>
          <w:szCs w:val="24"/>
        </w:rPr>
        <w:t xml:space="preserve">Whole mount in situ hybridization was performed as described previously </w:t>
      </w:r>
      <w:r>
        <w:rPr>
          <w:rFonts w:ascii="Times New Roman" w:hAnsi="Times New Roman"/>
          <w:bCs/>
          <w:sz w:val="24"/>
          <w:szCs w:val="24"/>
          <w:lang w:eastAsia="ja-JP"/>
        </w:rPr>
        <w:t>(Jiang</w:t>
      </w:r>
      <w:r w:rsidR="003B43C6">
        <w:rPr>
          <w:rFonts w:ascii="Times New Roman" w:hAnsi="Times New Roman"/>
          <w:bCs/>
          <w:i/>
          <w:sz w:val="24"/>
          <w:szCs w:val="24"/>
          <w:lang w:eastAsia="ja-JP"/>
        </w:rPr>
        <w:t xml:space="preserve"> et al.</w:t>
      </w:r>
      <w:r w:rsidR="003B43C6">
        <w:rPr>
          <w:rFonts w:ascii="Times New Roman" w:hAnsi="Times New Roman" w:hint="eastAsia"/>
          <w:bCs/>
          <w:sz w:val="24"/>
          <w:szCs w:val="24"/>
          <w:lang w:eastAsia="ja-JP"/>
        </w:rPr>
        <w:t>;</w:t>
      </w:r>
      <w:r>
        <w:rPr>
          <w:rFonts w:ascii="Times New Roman" w:hAnsi="Times New Roman"/>
          <w:bCs/>
          <w:sz w:val="24"/>
          <w:szCs w:val="24"/>
          <w:lang w:eastAsia="ja-JP"/>
        </w:rPr>
        <w:t xml:space="preserve"> 2007, Takada</w:t>
      </w:r>
      <w:r w:rsidRPr="00A17D87">
        <w:rPr>
          <w:rFonts w:ascii="Times New Roman" w:hAnsi="Times New Roman"/>
          <w:bCs/>
          <w:i/>
          <w:sz w:val="24"/>
          <w:szCs w:val="24"/>
          <w:lang w:eastAsia="ja-JP"/>
        </w:rPr>
        <w:t xml:space="preserve"> et al. </w:t>
      </w:r>
      <w:r>
        <w:rPr>
          <w:rFonts w:ascii="Times New Roman" w:hAnsi="Times New Roman"/>
          <w:bCs/>
          <w:sz w:val="24"/>
          <w:szCs w:val="24"/>
          <w:lang w:eastAsia="ja-JP"/>
        </w:rPr>
        <w:t>, 2005)</w:t>
      </w:r>
      <w:r w:rsidRPr="00E911BD">
        <w:rPr>
          <w:rFonts w:ascii="Times New Roman" w:hAnsi="Times New Roman"/>
          <w:bCs/>
          <w:sz w:val="24"/>
          <w:szCs w:val="24"/>
        </w:rPr>
        <w:t xml:space="preserve">. Briefly, adult worms were collected and fixed with PEM buffer (0.1 M PIPES, 1 mM MgSO4, 1 mM EGTA, pH 6.9). Fixed worms were treated with methanol and proteinase K to permeabilize the cuticle, and then prehybridized at 60°C for 1 h. A digoxigenin-labeled cRNA probe was generated from a linearized plasmid for </w:t>
      </w:r>
      <w:r w:rsidRPr="006C01BE">
        <w:rPr>
          <w:rFonts w:ascii="Times New Roman" w:hAnsi="Times New Roman"/>
          <w:bCs/>
          <w:i/>
          <w:sz w:val="24"/>
          <w:szCs w:val="24"/>
        </w:rPr>
        <w:t>dnc-1</w:t>
      </w:r>
      <w:r w:rsidRPr="00E911BD">
        <w:rPr>
          <w:rFonts w:ascii="Times New Roman" w:hAnsi="Times New Roman"/>
          <w:bCs/>
          <w:sz w:val="24"/>
          <w:szCs w:val="24"/>
        </w:rPr>
        <w:t xml:space="preserve"> (NM_069632.5; nt 3525–3887; 363 bp) using SP6 or T7 polymerase (Roche Diagnostics, </w:t>
      </w:r>
      <w:smartTag w:uri="urn:schemas-microsoft-com:office:smarttags" w:element="City">
        <w:smartTag w:uri="urn:schemas-microsoft-com:office:smarttags" w:element="place">
          <w:smartTag w:uri="urn:schemas-microsoft-com:office:smarttags" w:element="City">
            <w:r w:rsidRPr="00E911BD">
              <w:rPr>
                <w:rFonts w:ascii="Times New Roman" w:hAnsi="Times New Roman"/>
                <w:bCs/>
                <w:sz w:val="24"/>
                <w:szCs w:val="24"/>
              </w:rPr>
              <w:t>Basel</w:t>
            </w:r>
          </w:smartTag>
          <w:r w:rsidRPr="00E911BD">
            <w:rPr>
              <w:rFonts w:ascii="Times New Roman" w:hAnsi="Times New Roman"/>
              <w:bCs/>
              <w:sz w:val="24"/>
              <w:szCs w:val="24"/>
            </w:rPr>
            <w:t xml:space="preserve">, </w:t>
          </w:r>
          <w:smartTag w:uri="urn:schemas-microsoft-com:office:smarttags" w:element="country-region">
            <w:r w:rsidRPr="00E911BD">
              <w:rPr>
                <w:rFonts w:ascii="Times New Roman" w:hAnsi="Times New Roman"/>
                <w:bCs/>
                <w:sz w:val="24"/>
                <w:szCs w:val="24"/>
              </w:rPr>
              <w:t>Switzerland</w:t>
            </w:r>
          </w:smartTag>
        </w:smartTag>
      </w:smartTag>
      <w:r w:rsidRPr="00E911BD">
        <w:rPr>
          <w:rFonts w:ascii="Times New Roman" w:hAnsi="Times New Roman"/>
          <w:bCs/>
          <w:sz w:val="24"/>
          <w:szCs w:val="24"/>
        </w:rPr>
        <w:t>). After prehybridization, the worms were hybridized with a digoxigenin-labeled cRNA probe overnight at 60°C. The washed worms were then incubated with an alkaline phosphatase-conjugated, anti-digoxigenin antibody (Roche Diagnostics). The signal was visualized with nitro blue tetrazolium/5-bromo-4-chloro-3-indolyl phosphate (Roche Diagnostics)</w:t>
      </w:r>
      <w:r>
        <w:rPr>
          <w:rFonts w:ascii="Times New Roman" w:hAnsi="Times New Roman"/>
          <w:bCs/>
          <w:sz w:val="24"/>
          <w:szCs w:val="24"/>
          <w:lang w:eastAsia="ja-JP"/>
        </w:rPr>
        <w:t>.</w:t>
      </w:r>
    </w:p>
    <w:p w:rsidR="006C01BE" w:rsidRPr="00D93E11" w:rsidRDefault="006C01BE">
      <w:pPr>
        <w:spacing w:line="480" w:lineRule="auto"/>
        <w:rPr>
          <w:rFonts w:ascii="Times New Roman" w:hAnsi="Times New Roman"/>
          <w:bCs/>
          <w:sz w:val="24"/>
          <w:szCs w:val="24"/>
          <w:lang w:eastAsia="ja-JP"/>
        </w:rPr>
      </w:pPr>
    </w:p>
    <w:p w:rsidR="006C01BE" w:rsidRDefault="006C01BE">
      <w:pPr>
        <w:spacing w:line="480" w:lineRule="auto"/>
        <w:rPr>
          <w:rFonts w:ascii="Times New Roman" w:hAnsi="Times New Roman"/>
          <w:b/>
          <w:bCs/>
          <w:sz w:val="24"/>
          <w:szCs w:val="24"/>
        </w:rPr>
      </w:pPr>
      <w:r>
        <w:rPr>
          <w:rFonts w:ascii="Times New Roman" w:hAnsi="Times New Roman"/>
          <w:b/>
          <w:bCs/>
          <w:sz w:val="24"/>
          <w:szCs w:val="24"/>
        </w:rPr>
        <w:t xml:space="preserve">Western Blot Analysis. </w:t>
      </w:r>
      <w:r w:rsidRPr="00E911BD">
        <w:rPr>
          <w:rFonts w:ascii="Times New Roman" w:hAnsi="Times New Roman"/>
          <w:bCs/>
          <w:sz w:val="24"/>
          <w:szCs w:val="24"/>
        </w:rPr>
        <w:t xml:space="preserve">Western blot analyses were performed as described previously (Katsuno et al., 2003). Briefly, after being treated with rapamycin (100 or 1000 nM) or starved by serum depletion for 12 h, primary cultured cells from C. elegans embryos were lysed in RIPA buffer (Thermo Scientific, Rockford, IL, USA) containing a </w:t>
      </w:r>
      <w:r w:rsidRPr="00E911BD">
        <w:rPr>
          <w:rFonts w:ascii="Times New Roman" w:hAnsi="Times New Roman"/>
          <w:bCs/>
          <w:sz w:val="24"/>
          <w:szCs w:val="24"/>
        </w:rPr>
        <w:lastRenderedPageBreak/>
        <w:t>protease inhibitor mixture (Roche Diagnostics). Cell lysates were separated by SDS-PAGE (5–20% gradient gel) and analyzed by western blotting and ECL Plus detection reagents (GE Healthcare). The following primary antibodies were used: anti-alpha tubulin mouse monoclonal (1:10000; SIGMA-ALDRICH, St. Louis, MO, USA) and anti-acetylated tubulin mouse monoclonal (1:1000; SIGMA-ALDRICH).</w:t>
      </w:r>
    </w:p>
    <w:p w:rsidR="006C01BE" w:rsidRDefault="006C01BE">
      <w:pPr>
        <w:spacing w:line="480" w:lineRule="auto"/>
        <w:ind w:firstLineChars="50" w:firstLine="120"/>
        <w:rPr>
          <w:rFonts w:ascii="Times New Roman" w:hAnsi="Times New Roman"/>
          <w:bCs/>
          <w:sz w:val="24"/>
          <w:szCs w:val="24"/>
          <w:lang w:eastAsia="ja-JP"/>
        </w:rPr>
      </w:pPr>
    </w:p>
    <w:p w:rsidR="006C01BE" w:rsidRDefault="006C01BE" w:rsidP="00FF093E">
      <w:pPr>
        <w:autoSpaceDE w:val="0"/>
        <w:autoSpaceDN w:val="0"/>
        <w:adjustRightInd w:val="0"/>
        <w:snapToGrid w:val="0"/>
        <w:spacing w:line="600" w:lineRule="auto"/>
        <w:jc w:val="left"/>
        <w:rPr>
          <w:rFonts w:ascii="Times New Roman" w:hAnsi="Times New Roman"/>
          <w:bCs/>
          <w:noProof w:val="0"/>
          <w:kern w:val="0"/>
          <w:sz w:val="24"/>
          <w:szCs w:val="24"/>
          <w:lang w:eastAsia="ja-JP"/>
        </w:rPr>
      </w:pPr>
      <w:r w:rsidRPr="009F7F5B">
        <w:rPr>
          <w:rFonts w:ascii="Times New Roman" w:hAnsi="Times New Roman"/>
          <w:b/>
          <w:bCs/>
          <w:iCs/>
          <w:sz w:val="24"/>
          <w:szCs w:val="24"/>
          <w:lang w:eastAsia="ja-JP"/>
        </w:rPr>
        <w:t>Quantitative real-time PCR</w:t>
      </w:r>
      <w:r>
        <w:rPr>
          <w:rFonts w:ascii="Times New Roman" w:hAnsi="Times New Roman"/>
          <w:bCs/>
          <w:sz w:val="24"/>
          <w:szCs w:val="24"/>
          <w:lang w:eastAsia="ja-JP"/>
        </w:rPr>
        <w:t xml:space="preserve">. </w:t>
      </w:r>
      <w:r w:rsidRPr="00E911BD">
        <w:rPr>
          <w:rFonts w:ascii="Times New Roman" w:hAnsi="Times New Roman"/>
          <w:bCs/>
          <w:noProof w:val="0"/>
          <w:kern w:val="0"/>
          <w:sz w:val="24"/>
          <w:szCs w:val="24"/>
          <w:lang w:eastAsia="ja-JP"/>
        </w:rPr>
        <w:t xml:space="preserve">Mec-17 mRNA levels were determined by real-time PCR as described previously </w:t>
      </w:r>
      <w:r>
        <w:rPr>
          <w:rFonts w:ascii="Times New Roman" w:hAnsi="Times New Roman"/>
          <w:bCs/>
          <w:kern w:val="0"/>
          <w:sz w:val="24"/>
          <w:szCs w:val="24"/>
          <w:lang w:eastAsia="ja-JP"/>
        </w:rPr>
        <w:t>(Ishigaki et al, 2002)</w:t>
      </w:r>
      <w:r w:rsidRPr="00E911BD">
        <w:rPr>
          <w:rFonts w:ascii="Times New Roman" w:hAnsi="Times New Roman"/>
          <w:bCs/>
          <w:noProof w:val="0"/>
          <w:kern w:val="0"/>
          <w:sz w:val="24"/>
          <w:szCs w:val="24"/>
          <w:lang w:eastAsia="ja-JP"/>
        </w:rPr>
        <w:t xml:space="preserve">. Briefly, total RNA (1.6 </w:t>
      </w:r>
      <w:proofErr w:type="spellStart"/>
      <w:r w:rsidR="009D1D60">
        <w:rPr>
          <w:rFonts w:ascii="Times New Roman" w:hAnsi="Times New Roman"/>
          <w:bCs/>
          <w:noProof w:val="0"/>
          <w:kern w:val="0"/>
          <w:sz w:val="24"/>
          <w:szCs w:val="24"/>
          <w:lang w:eastAsia="ja-JP"/>
        </w:rPr>
        <w:t>μ</w:t>
      </w:r>
      <w:r w:rsidRPr="00E911BD">
        <w:rPr>
          <w:rFonts w:ascii="Times New Roman" w:hAnsi="Times New Roman"/>
          <w:bCs/>
          <w:noProof w:val="0"/>
          <w:kern w:val="0"/>
          <w:sz w:val="24"/>
          <w:szCs w:val="24"/>
          <w:lang w:eastAsia="ja-JP"/>
        </w:rPr>
        <w:t>g</w:t>
      </w:r>
      <w:proofErr w:type="spellEnd"/>
      <w:r w:rsidRPr="00E911BD">
        <w:rPr>
          <w:rFonts w:ascii="Times New Roman" w:hAnsi="Times New Roman"/>
          <w:bCs/>
          <w:noProof w:val="0"/>
          <w:kern w:val="0"/>
          <w:sz w:val="24"/>
          <w:szCs w:val="24"/>
          <w:lang w:eastAsia="ja-JP"/>
        </w:rPr>
        <w:t xml:space="preserve"> each) from primary cultured cells treated with rapamycin, serum depletion, and control were reverse transcribed into first-strand </w:t>
      </w:r>
      <w:proofErr w:type="spellStart"/>
      <w:r w:rsidRPr="00E911BD">
        <w:rPr>
          <w:rFonts w:ascii="Times New Roman" w:hAnsi="Times New Roman"/>
          <w:bCs/>
          <w:noProof w:val="0"/>
          <w:kern w:val="0"/>
          <w:sz w:val="24"/>
          <w:szCs w:val="24"/>
          <w:lang w:eastAsia="ja-JP"/>
        </w:rPr>
        <w:t>cDNA</w:t>
      </w:r>
      <w:proofErr w:type="spellEnd"/>
      <w:r w:rsidRPr="00E911BD">
        <w:rPr>
          <w:rFonts w:ascii="Times New Roman" w:hAnsi="Times New Roman"/>
          <w:bCs/>
          <w:noProof w:val="0"/>
          <w:kern w:val="0"/>
          <w:sz w:val="24"/>
          <w:szCs w:val="24"/>
          <w:lang w:eastAsia="ja-JP"/>
        </w:rPr>
        <w:t xml:space="preserve"> using </w:t>
      </w:r>
      <w:proofErr w:type="spellStart"/>
      <w:r w:rsidRPr="00E911BD">
        <w:rPr>
          <w:rFonts w:ascii="Times New Roman" w:hAnsi="Times New Roman"/>
          <w:bCs/>
          <w:noProof w:val="0"/>
          <w:kern w:val="0"/>
          <w:sz w:val="24"/>
          <w:szCs w:val="24"/>
          <w:lang w:eastAsia="ja-JP"/>
        </w:rPr>
        <w:t>SuperScript</w:t>
      </w:r>
      <w:proofErr w:type="spellEnd"/>
      <w:r w:rsidRPr="00E911BD">
        <w:rPr>
          <w:rFonts w:ascii="Times New Roman" w:hAnsi="Times New Roman"/>
          <w:bCs/>
          <w:noProof w:val="0"/>
          <w:kern w:val="0"/>
          <w:sz w:val="24"/>
          <w:szCs w:val="24"/>
          <w:lang w:eastAsia="ja-JP"/>
        </w:rPr>
        <w:t xml:space="preserve"> III reverse transcriptase (Invitrogen). Real-time PCR was performed in a total volume of 25 </w:t>
      </w:r>
      <w:proofErr w:type="spellStart"/>
      <w:r w:rsidR="009D1D60">
        <w:rPr>
          <w:rFonts w:ascii="Times New Roman" w:hAnsi="Times New Roman"/>
          <w:bCs/>
          <w:noProof w:val="0"/>
          <w:kern w:val="0"/>
          <w:sz w:val="24"/>
          <w:szCs w:val="24"/>
          <w:lang w:eastAsia="ja-JP"/>
        </w:rPr>
        <w:t>μ</w:t>
      </w:r>
      <w:r w:rsidRPr="00E911BD">
        <w:rPr>
          <w:rFonts w:ascii="Times New Roman" w:hAnsi="Times New Roman"/>
          <w:bCs/>
          <w:noProof w:val="0"/>
          <w:kern w:val="0"/>
          <w:sz w:val="24"/>
          <w:szCs w:val="24"/>
          <w:lang w:eastAsia="ja-JP"/>
        </w:rPr>
        <w:t>l</w:t>
      </w:r>
      <w:proofErr w:type="spellEnd"/>
      <w:r w:rsidRPr="00E911BD">
        <w:rPr>
          <w:rFonts w:ascii="Times New Roman" w:hAnsi="Times New Roman"/>
          <w:bCs/>
          <w:noProof w:val="0"/>
          <w:kern w:val="0"/>
          <w:sz w:val="24"/>
          <w:szCs w:val="24"/>
          <w:lang w:eastAsia="ja-JP"/>
        </w:rPr>
        <w:t xml:space="preserve">, containing 12.5 </w:t>
      </w:r>
      <w:proofErr w:type="spellStart"/>
      <w:r w:rsidR="009D1D60">
        <w:rPr>
          <w:rFonts w:ascii="Times New Roman" w:hAnsi="Times New Roman"/>
          <w:bCs/>
          <w:noProof w:val="0"/>
          <w:kern w:val="0"/>
          <w:sz w:val="24"/>
          <w:szCs w:val="24"/>
          <w:lang w:eastAsia="ja-JP"/>
        </w:rPr>
        <w:t>μ</w:t>
      </w:r>
      <w:r w:rsidRPr="00E911BD">
        <w:rPr>
          <w:rFonts w:ascii="Times New Roman" w:hAnsi="Times New Roman"/>
          <w:bCs/>
          <w:noProof w:val="0"/>
          <w:kern w:val="0"/>
          <w:sz w:val="24"/>
          <w:szCs w:val="24"/>
          <w:lang w:eastAsia="ja-JP"/>
        </w:rPr>
        <w:t>l</w:t>
      </w:r>
      <w:proofErr w:type="spellEnd"/>
      <w:r w:rsidRPr="00E911BD">
        <w:rPr>
          <w:rFonts w:ascii="Times New Roman" w:hAnsi="Times New Roman"/>
          <w:bCs/>
          <w:noProof w:val="0"/>
          <w:kern w:val="0"/>
          <w:sz w:val="24"/>
          <w:szCs w:val="24"/>
          <w:lang w:eastAsia="ja-JP"/>
        </w:rPr>
        <w:t xml:space="preserve"> of </w:t>
      </w:r>
      <w:proofErr w:type="spellStart"/>
      <w:r w:rsidRPr="00E911BD">
        <w:rPr>
          <w:rFonts w:ascii="Times New Roman" w:hAnsi="Times New Roman"/>
          <w:bCs/>
          <w:noProof w:val="0"/>
          <w:kern w:val="0"/>
          <w:sz w:val="24"/>
          <w:szCs w:val="24"/>
          <w:lang w:eastAsia="ja-JP"/>
        </w:rPr>
        <w:t>QuantiTect</w:t>
      </w:r>
      <w:proofErr w:type="spellEnd"/>
      <w:r w:rsidRPr="00E911BD">
        <w:rPr>
          <w:rFonts w:ascii="Times New Roman" w:hAnsi="Times New Roman"/>
          <w:bCs/>
          <w:noProof w:val="0"/>
          <w:kern w:val="0"/>
          <w:sz w:val="24"/>
          <w:szCs w:val="24"/>
          <w:lang w:eastAsia="ja-JP"/>
        </w:rPr>
        <w:t xml:space="preserve"> SYBR Green PCR Master Mix and 0.4 </w:t>
      </w:r>
      <w:proofErr w:type="spellStart"/>
      <w:r w:rsidR="009D1D60">
        <w:rPr>
          <w:rFonts w:ascii="Times New Roman" w:hAnsi="Times New Roman"/>
          <w:bCs/>
          <w:noProof w:val="0"/>
          <w:kern w:val="0"/>
          <w:sz w:val="24"/>
          <w:szCs w:val="24"/>
          <w:lang w:eastAsia="ja-JP"/>
        </w:rPr>
        <w:t>μ</w:t>
      </w:r>
      <w:r w:rsidRPr="00E911BD">
        <w:rPr>
          <w:rFonts w:ascii="Times New Roman" w:hAnsi="Times New Roman"/>
          <w:bCs/>
          <w:noProof w:val="0"/>
          <w:kern w:val="0"/>
          <w:sz w:val="24"/>
          <w:szCs w:val="24"/>
          <w:lang w:eastAsia="ja-JP"/>
        </w:rPr>
        <w:t>M</w:t>
      </w:r>
      <w:proofErr w:type="spellEnd"/>
      <w:r w:rsidRPr="00E911BD">
        <w:rPr>
          <w:rFonts w:ascii="Times New Roman" w:hAnsi="Times New Roman"/>
          <w:bCs/>
          <w:noProof w:val="0"/>
          <w:kern w:val="0"/>
          <w:sz w:val="24"/>
          <w:szCs w:val="24"/>
          <w:lang w:eastAsia="ja-JP"/>
        </w:rPr>
        <w:t xml:space="preserve"> of each primer (</w:t>
      </w:r>
      <w:proofErr w:type="spellStart"/>
      <w:r w:rsidRPr="00E911BD">
        <w:rPr>
          <w:rFonts w:ascii="Times New Roman" w:hAnsi="Times New Roman"/>
          <w:bCs/>
          <w:noProof w:val="0"/>
          <w:kern w:val="0"/>
          <w:sz w:val="24"/>
          <w:szCs w:val="24"/>
          <w:lang w:eastAsia="ja-JP"/>
        </w:rPr>
        <w:t>Qiagen</w:t>
      </w:r>
      <w:proofErr w:type="spellEnd"/>
      <w:r w:rsidRPr="00E911BD">
        <w:rPr>
          <w:rFonts w:ascii="Times New Roman" w:hAnsi="Times New Roman"/>
          <w:bCs/>
          <w:noProof w:val="0"/>
          <w:kern w:val="0"/>
          <w:sz w:val="24"/>
          <w:szCs w:val="24"/>
          <w:lang w:eastAsia="ja-JP"/>
        </w:rPr>
        <w:t xml:space="preserve">, Valencia, CA, USA), and the product was detected using the </w:t>
      </w:r>
      <w:proofErr w:type="spellStart"/>
      <w:r w:rsidRPr="00E911BD">
        <w:rPr>
          <w:rFonts w:ascii="Times New Roman" w:hAnsi="Times New Roman"/>
          <w:bCs/>
          <w:noProof w:val="0"/>
          <w:kern w:val="0"/>
          <w:sz w:val="24"/>
          <w:szCs w:val="24"/>
          <w:lang w:eastAsia="ja-JP"/>
        </w:rPr>
        <w:t>iCycler</w:t>
      </w:r>
      <w:proofErr w:type="spellEnd"/>
      <w:r w:rsidRPr="00E911BD">
        <w:rPr>
          <w:rFonts w:ascii="Times New Roman" w:hAnsi="Times New Roman"/>
          <w:bCs/>
          <w:noProof w:val="0"/>
          <w:kern w:val="0"/>
          <w:sz w:val="24"/>
          <w:szCs w:val="24"/>
          <w:lang w:eastAsia="ja-JP"/>
        </w:rPr>
        <w:t xml:space="preserve"> system (Bio-Rad Laboratories, Hercules, CA, USA). The reaction conditions were 95°C for 5 min and then 40 cycles of 10 s at 95°C followed by 30 s at 60°C. For an internal standard control, the expression level of alpha-tubulin (tba1) was quantified simultaneously. The following primers were used: 5′-TAATCCATCAGTCACTCTTCT-3′ and 5′-GGTATCAGTCATTCCAGTTC-3′ for mec17, and 5′-GTACACTCCACTGATCTCTGCTGACAAG-3′ and </w:t>
      </w:r>
      <w:r w:rsidRPr="00E911BD">
        <w:rPr>
          <w:rFonts w:ascii="Times New Roman" w:hAnsi="Times New Roman"/>
          <w:bCs/>
          <w:noProof w:val="0"/>
          <w:kern w:val="0"/>
          <w:sz w:val="24"/>
          <w:szCs w:val="24"/>
          <w:lang w:eastAsia="ja-JP"/>
        </w:rPr>
        <w:lastRenderedPageBreak/>
        <w:t>5′-CTCTGTACAAGAGGCAAACAGCCATG-3′ for tba1. The threshold cycle of each gene was determined as the number of PCR cycles at which the increase in reporter fluorescence was 10 times that of the baseline signal. The weight of the gene contained in each sample was equal to the log of its starting quantity, and the standardized expression level in each worm was equal to the weight ratio of each gene to that of tba1.</w:t>
      </w:r>
    </w:p>
    <w:p w:rsidR="006C01BE" w:rsidRPr="00FF093E" w:rsidRDefault="006C01BE" w:rsidP="00FF093E">
      <w:pPr>
        <w:autoSpaceDE w:val="0"/>
        <w:autoSpaceDN w:val="0"/>
        <w:adjustRightInd w:val="0"/>
        <w:snapToGrid w:val="0"/>
        <w:spacing w:line="600" w:lineRule="auto"/>
        <w:jc w:val="left"/>
        <w:rPr>
          <w:rFonts w:ascii="Times New Roman" w:hAnsi="Times New Roman"/>
          <w:bCs/>
          <w:noProof w:val="0"/>
          <w:kern w:val="0"/>
          <w:sz w:val="24"/>
          <w:szCs w:val="24"/>
          <w:lang w:eastAsia="ja-JP"/>
        </w:rPr>
      </w:pPr>
    </w:p>
    <w:p w:rsidR="006C01BE" w:rsidRPr="00326DB3" w:rsidRDefault="006C01BE" w:rsidP="00326DB3">
      <w:pPr>
        <w:autoSpaceDE w:val="0"/>
        <w:autoSpaceDN w:val="0"/>
        <w:adjustRightInd w:val="0"/>
        <w:snapToGrid w:val="0"/>
        <w:spacing w:line="600" w:lineRule="auto"/>
        <w:jc w:val="left"/>
        <w:rPr>
          <w:rFonts w:ascii="Times New Roman" w:hAnsi="Times New Roman"/>
          <w:bCs/>
          <w:noProof w:val="0"/>
          <w:kern w:val="0"/>
          <w:sz w:val="24"/>
          <w:szCs w:val="24"/>
          <w:lang w:eastAsia="ja-JP"/>
        </w:rPr>
      </w:pPr>
      <w:r>
        <w:rPr>
          <w:rFonts w:ascii="Times New Roman" w:hAnsi="Times New Roman"/>
          <w:b/>
          <w:bCs/>
          <w:sz w:val="24"/>
          <w:szCs w:val="24"/>
        </w:rPr>
        <w:t>Electron microscopy.</w:t>
      </w:r>
      <w:r w:rsidRPr="00326DB3">
        <w:rPr>
          <w:rFonts w:ascii="Times New Roman" w:hAnsi="Times New Roman"/>
          <w:bCs/>
          <w:noProof w:val="0"/>
          <w:kern w:val="0"/>
          <w:sz w:val="24"/>
          <w:szCs w:val="24"/>
          <w:lang w:eastAsia="ja-JP"/>
        </w:rPr>
        <w:t xml:space="preserve"> A conventional two-step fixation method was performed as described previously </w:t>
      </w:r>
      <w:r>
        <w:rPr>
          <w:rFonts w:ascii="Times New Roman" w:hAnsi="Times New Roman"/>
          <w:bCs/>
          <w:kern w:val="0"/>
          <w:sz w:val="24"/>
          <w:szCs w:val="24"/>
          <w:lang w:eastAsia="ja-JP"/>
        </w:rPr>
        <w:t>(Hall et al, 1997)</w:t>
      </w:r>
      <w:r w:rsidRPr="00326DB3">
        <w:rPr>
          <w:rFonts w:ascii="Times New Roman" w:hAnsi="Times New Roman"/>
          <w:bCs/>
          <w:noProof w:val="0"/>
          <w:kern w:val="0"/>
          <w:sz w:val="24"/>
          <w:szCs w:val="24"/>
          <w:lang w:eastAsia="ja-JP"/>
        </w:rPr>
        <w:t xml:space="preserve">, with a slight modification. Worms were anesthetized with 8% ethanol and then fixed in 2% </w:t>
      </w:r>
      <w:proofErr w:type="spellStart"/>
      <w:r w:rsidRPr="00326DB3">
        <w:rPr>
          <w:rFonts w:ascii="Times New Roman" w:hAnsi="Times New Roman"/>
          <w:bCs/>
          <w:noProof w:val="0"/>
          <w:kern w:val="0"/>
          <w:sz w:val="24"/>
          <w:szCs w:val="24"/>
          <w:lang w:eastAsia="ja-JP"/>
        </w:rPr>
        <w:t>glutaraldehyde</w:t>
      </w:r>
      <w:proofErr w:type="spellEnd"/>
      <w:r w:rsidRPr="00326DB3">
        <w:rPr>
          <w:rFonts w:ascii="Times New Roman" w:hAnsi="Times New Roman"/>
          <w:bCs/>
          <w:noProof w:val="0"/>
          <w:kern w:val="0"/>
          <w:sz w:val="24"/>
          <w:szCs w:val="24"/>
          <w:lang w:eastAsia="ja-JP"/>
        </w:rPr>
        <w:t xml:space="preserve"> and 2% paraformaldehyde in 0.1 M phosphate buffer (pH 7.4) for 2 h at 4°C. After two 10-min rinses in buffer, the samples were post-fixed in 1% osmium tetroxide in 0.1 M phosphate buffer for 1 h at 4°C in the dark, rinsed 3 times with buffer for a total of 30 min, dehydrated through an ethanol series, passed through propylene oxide, and then embedded in epoxy resin. Traverse, serial, ultra-thin sections through the body were collected on mesh grids and post-stained with </w:t>
      </w:r>
      <w:proofErr w:type="spellStart"/>
      <w:r w:rsidRPr="00326DB3">
        <w:rPr>
          <w:rFonts w:ascii="Times New Roman" w:hAnsi="Times New Roman"/>
          <w:bCs/>
          <w:noProof w:val="0"/>
          <w:kern w:val="0"/>
          <w:sz w:val="24"/>
          <w:szCs w:val="24"/>
          <w:lang w:eastAsia="ja-JP"/>
        </w:rPr>
        <w:t>uranyl</w:t>
      </w:r>
      <w:proofErr w:type="spellEnd"/>
      <w:r w:rsidRPr="00326DB3">
        <w:rPr>
          <w:rFonts w:ascii="Times New Roman" w:hAnsi="Times New Roman"/>
          <w:bCs/>
          <w:noProof w:val="0"/>
          <w:kern w:val="0"/>
          <w:sz w:val="24"/>
          <w:szCs w:val="24"/>
          <w:lang w:eastAsia="ja-JP"/>
        </w:rPr>
        <w:t xml:space="preserve"> acetate and lead citrate. The ventral cord neurons were examined on a JEM-1400EX electron microscope at 80 kV.</w:t>
      </w:r>
    </w:p>
    <w:p w:rsidR="006C01BE" w:rsidRDefault="006C01BE">
      <w:pPr>
        <w:spacing w:line="480" w:lineRule="auto"/>
        <w:rPr>
          <w:rFonts w:ascii="Times New Roman" w:hAnsi="Times New Roman"/>
          <w:b/>
          <w:bCs/>
          <w:sz w:val="24"/>
          <w:szCs w:val="24"/>
          <w:lang w:eastAsia="ja-JP"/>
        </w:rPr>
      </w:pPr>
    </w:p>
    <w:p w:rsidR="006C01BE" w:rsidRDefault="006C01BE" w:rsidP="00326DB3">
      <w:pPr>
        <w:spacing w:line="600" w:lineRule="auto"/>
        <w:rPr>
          <w:rFonts w:ascii="Times New Roman" w:hAnsi="Times New Roman"/>
          <w:b/>
          <w:bCs/>
          <w:sz w:val="24"/>
          <w:szCs w:val="24"/>
        </w:rPr>
      </w:pPr>
      <w:r>
        <w:rPr>
          <w:rFonts w:ascii="Times New Roman" w:hAnsi="Times New Roman"/>
          <w:b/>
          <w:bCs/>
          <w:sz w:val="24"/>
          <w:szCs w:val="24"/>
        </w:rPr>
        <w:t>Protocols for human samples</w:t>
      </w:r>
    </w:p>
    <w:p w:rsidR="006C01BE" w:rsidRPr="006C01BE" w:rsidRDefault="006C01BE" w:rsidP="006C01BE">
      <w:pPr>
        <w:autoSpaceDE w:val="0"/>
        <w:autoSpaceDN w:val="0"/>
        <w:adjustRightInd w:val="0"/>
        <w:snapToGrid w:val="0"/>
        <w:spacing w:line="600" w:lineRule="auto"/>
        <w:jc w:val="left"/>
        <w:rPr>
          <w:rFonts w:ascii="Times New Roman" w:hAnsi="Times New Roman"/>
          <w:bCs/>
          <w:noProof w:val="0"/>
          <w:kern w:val="0"/>
          <w:sz w:val="24"/>
          <w:szCs w:val="24"/>
          <w:lang w:eastAsia="ja-JP"/>
        </w:rPr>
      </w:pPr>
      <w:r>
        <w:rPr>
          <w:rFonts w:ascii="Times New Roman" w:hAnsi="Times New Roman"/>
          <w:b/>
          <w:bCs/>
          <w:i/>
          <w:sz w:val="24"/>
          <w:szCs w:val="24"/>
        </w:rPr>
        <w:t>In s</w:t>
      </w:r>
      <w:r w:rsidRPr="00BF0716">
        <w:rPr>
          <w:rFonts w:ascii="Times New Roman" w:hAnsi="Times New Roman"/>
          <w:b/>
          <w:bCs/>
          <w:i/>
          <w:sz w:val="24"/>
          <w:szCs w:val="24"/>
        </w:rPr>
        <w:t>itu</w:t>
      </w:r>
      <w:r w:rsidRPr="00BF0716">
        <w:rPr>
          <w:rFonts w:ascii="Times New Roman" w:hAnsi="Times New Roman"/>
          <w:b/>
          <w:bCs/>
          <w:sz w:val="24"/>
          <w:szCs w:val="24"/>
        </w:rPr>
        <w:t xml:space="preserve"> hybridization. </w:t>
      </w:r>
      <w:r w:rsidRPr="00BF0716">
        <w:rPr>
          <w:rFonts w:ascii="Times New Roman" w:hAnsi="Times New Roman"/>
          <w:bCs/>
          <w:noProof w:val="0"/>
          <w:kern w:val="0"/>
          <w:sz w:val="24"/>
          <w:szCs w:val="24"/>
          <w:lang w:eastAsia="ja-JP"/>
        </w:rPr>
        <w:t>Frozen, 10-</w:t>
      </w:r>
      <w:r w:rsidR="009D1D60">
        <w:rPr>
          <w:rFonts w:ascii="Times New Roman" w:hAnsi="Times New Roman"/>
          <w:bCs/>
          <w:noProof w:val="0"/>
          <w:kern w:val="0"/>
          <w:sz w:val="24"/>
          <w:szCs w:val="24"/>
          <w:lang w:eastAsia="ja-JP"/>
        </w:rPr>
        <w:t>μ</w:t>
      </w:r>
      <w:r w:rsidRPr="00BF0716">
        <w:rPr>
          <w:rFonts w:ascii="Times New Roman" w:hAnsi="Times New Roman"/>
          <w:bCs/>
          <w:noProof w:val="0"/>
          <w:kern w:val="0"/>
          <w:sz w:val="24"/>
          <w:szCs w:val="24"/>
          <w:lang w:eastAsia="ja-JP"/>
        </w:rPr>
        <w:t xml:space="preserve">m-thick spinal cord sections of autopsy material </w:t>
      </w:r>
      <w:r w:rsidRPr="00BF0716">
        <w:rPr>
          <w:rFonts w:ascii="Times New Roman" w:hAnsi="Times New Roman"/>
          <w:bCs/>
          <w:noProof w:val="0"/>
          <w:kern w:val="0"/>
          <w:sz w:val="24"/>
          <w:szCs w:val="24"/>
          <w:lang w:eastAsia="ja-JP"/>
        </w:rPr>
        <w:lastRenderedPageBreak/>
        <w:t xml:space="preserve">from SALS (44 years-old female, 63 years-old male, and 74 years-old male) and control patients </w:t>
      </w:r>
      <w:r w:rsidRPr="00BF0716">
        <w:rPr>
          <w:rFonts w:ascii="Times New Roman" w:hAnsi="Times New Roman"/>
          <w:noProof w:val="0"/>
          <w:kern w:val="0"/>
          <w:sz w:val="24"/>
          <w:szCs w:val="24"/>
          <w:lang w:eastAsia="ja-JP"/>
        </w:rPr>
        <w:t>with other neurodegenerative diseases</w:t>
      </w:r>
      <w:r w:rsidRPr="00BF0716">
        <w:rPr>
          <w:rFonts w:ascii="Times New Roman" w:hAnsi="Times New Roman"/>
          <w:bCs/>
          <w:noProof w:val="0"/>
          <w:kern w:val="0"/>
          <w:sz w:val="24"/>
          <w:szCs w:val="24"/>
          <w:lang w:eastAsia="ja-JP"/>
        </w:rPr>
        <w:t xml:space="preserve"> (52 years–old male with pneumonia, 65 years-old male with brain infarction, and 78 years-old female with interstitial pneumonia) were prepared and immediately fixed in 4% paraformaldehyde. The sections were then treated twice with 0.1% </w:t>
      </w:r>
      <w:proofErr w:type="spellStart"/>
      <w:r w:rsidRPr="00BF0716">
        <w:rPr>
          <w:rFonts w:ascii="Times New Roman" w:hAnsi="Times New Roman"/>
          <w:bCs/>
          <w:noProof w:val="0"/>
          <w:kern w:val="0"/>
          <w:sz w:val="24"/>
          <w:szCs w:val="24"/>
          <w:lang w:eastAsia="ja-JP"/>
        </w:rPr>
        <w:t>diethylpyrocarbonate</w:t>
      </w:r>
      <w:proofErr w:type="spellEnd"/>
      <w:r w:rsidRPr="00BF0716">
        <w:rPr>
          <w:rFonts w:ascii="Times New Roman" w:hAnsi="Times New Roman"/>
          <w:bCs/>
          <w:noProof w:val="0"/>
          <w:kern w:val="0"/>
          <w:sz w:val="24"/>
          <w:szCs w:val="24"/>
          <w:lang w:eastAsia="ja-JP"/>
        </w:rPr>
        <w:t xml:space="preserve"> for 15 min and </w:t>
      </w:r>
      <w:proofErr w:type="spellStart"/>
      <w:r w:rsidRPr="00BF0716">
        <w:rPr>
          <w:rFonts w:ascii="Times New Roman" w:hAnsi="Times New Roman"/>
          <w:bCs/>
          <w:noProof w:val="0"/>
          <w:kern w:val="0"/>
          <w:sz w:val="24"/>
          <w:szCs w:val="24"/>
          <w:lang w:eastAsia="ja-JP"/>
        </w:rPr>
        <w:t>prehybridized</w:t>
      </w:r>
      <w:proofErr w:type="spellEnd"/>
      <w:r w:rsidRPr="00BF0716">
        <w:rPr>
          <w:rFonts w:ascii="Times New Roman" w:hAnsi="Times New Roman"/>
          <w:bCs/>
          <w:noProof w:val="0"/>
          <w:kern w:val="0"/>
          <w:sz w:val="24"/>
          <w:szCs w:val="24"/>
          <w:lang w:eastAsia="ja-JP"/>
        </w:rPr>
        <w:t xml:space="preserve"> at 45°C for 1 h. A </w:t>
      </w:r>
      <w:proofErr w:type="spellStart"/>
      <w:r w:rsidRPr="00BF0716">
        <w:rPr>
          <w:rFonts w:ascii="Times New Roman" w:hAnsi="Times New Roman"/>
          <w:bCs/>
          <w:noProof w:val="0"/>
          <w:kern w:val="0"/>
          <w:sz w:val="24"/>
          <w:szCs w:val="24"/>
          <w:lang w:eastAsia="ja-JP"/>
        </w:rPr>
        <w:t>digoxigenin</w:t>
      </w:r>
      <w:proofErr w:type="spellEnd"/>
      <w:r w:rsidRPr="00BF0716">
        <w:rPr>
          <w:rFonts w:ascii="Times New Roman" w:hAnsi="Times New Roman"/>
          <w:bCs/>
          <w:noProof w:val="0"/>
          <w:kern w:val="0"/>
          <w:sz w:val="24"/>
          <w:szCs w:val="24"/>
          <w:lang w:eastAsia="ja-JP"/>
        </w:rPr>
        <w:t xml:space="preserve">-labeled </w:t>
      </w:r>
      <w:proofErr w:type="spellStart"/>
      <w:r w:rsidRPr="00BF0716">
        <w:rPr>
          <w:rFonts w:ascii="Times New Roman" w:hAnsi="Times New Roman"/>
          <w:bCs/>
          <w:noProof w:val="0"/>
          <w:kern w:val="0"/>
          <w:sz w:val="24"/>
          <w:szCs w:val="24"/>
          <w:lang w:eastAsia="ja-JP"/>
        </w:rPr>
        <w:t>cRNA</w:t>
      </w:r>
      <w:proofErr w:type="spellEnd"/>
      <w:r w:rsidRPr="00BF0716">
        <w:rPr>
          <w:rFonts w:ascii="Times New Roman" w:hAnsi="Times New Roman"/>
          <w:bCs/>
          <w:noProof w:val="0"/>
          <w:kern w:val="0"/>
          <w:sz w:val="24"/>
          <w:szCs w:val="24"/>
          <w:lang w:eastAsia="ja-JP"/>
        </w:rPr>
        <w:t xml:space="preserve"> probe w</w:t>
      </w:r>
      <w:r w:rsidRPr="00326DB3">
        <w:rPr>
          <w:rFonts w:ascii="Times New Roman" w:hAnsi="Times New Roman"/>
          <w:bCs/>
          <w:noProof w:val="0"/>
          <w:kern w:val="0"/>
          <w:sz w:val="24"/>
          <w:szCs w:val="24"/>
          <w:lang w:eastAsia="ja-JP"/>
        </w:rPr>
        <w:t xml:space="preserve">as generated from a linearized plasmid for </w:t>
      </w:r>
      <w:r w:rsidRPr="006C01BE">
        <w:rPr>
          <w:rFonts w:ascii="Times New Roman" w:hAnsi="Times New Roman"/>
          <w:bCs/>
          <w:noProof w:val="0"/>
          <w:kern w:val="0"/>
          <w:sz w:val="24"/>
          <w:szCs w:val="24"/>
          <w:lang w:eastAsia="ja-JP"/>
        </w:rPr>
        <w:t>dynactin</w:t>
      </w:r>
      <w:r w:rsidRPr="006C01BE">
        <w:rPr>
          <w:rFonts w:ascii="Times New Roman" w:hAnsi="Times New Roman" w:hint="eastAsia"/>
          <w:bCs/>
          <w:noProof w:val="0"/>
          <w:kern w:val="0"/>
          <w:sz w:val="24"/>
          <w:szCs w:val="24"/>
          <w:lang w:eastAsia="ja-JP"/>
        </w:rPr>
        <w:t xml:space="preserve"> </w:t>
      </w:r>
      <w:r w:rsidRPr="006C01BE">
        <w:rPr>
          <w:rFonts w:ascii="Times New Roman" w:hAnsi="Times New Roman"/>
          <w:bCs/>
          <w:noProof w:val="0"/>
          <w:kern w:val="0"/>
          <w:sz w:val="24"/>
          <w:szCs w:val="24"/>
          <w:lang w:eastAsia="ja-JP"/>
        </w:rPr>
        <w:t>1</w:t>
      </w:r>
      <w:r w:rsidRPr="00326DB3">
        <w:rPr>
          <w:rFonts w:ascii="Times New Roman" w:hAnsi="Times New Roman"/>
          <w:bCs/>
          <w:noProof w:val="0"/>
          <w:kern w:val="0"/>
          <w:sz w:val="24"/>
          <w:szCs w:val="24"/>
          <w:lang w:eastAsia="ja-JP"/>
        </w:rPr>
        <w:t xml:space="preserve"> (</w:t>
      </w:r>
      <w:r w:rsidRPr="00326DB3">
        <w:rPr>
          <w:rFonts w:ascii="Times New Roman" w:hAnsi="Times New Roman"/>
          <w:bCs/>
          <w:i/>
          <w:noProof w:val="0"/>
          <w:kern w:val="0"/>
          <w:sz w:val="24"/>
          <w:szCs w:val="24"/>
          <w:lang w:eastAsia="ja-JP"/>
        </w:rPr>
        <w:t>DCTN-1</w:t>
      </w:r>
      <w:r w:rsidRPr="00326DB3">
        <w:rPr>
          <w:rFonts w:ascii="Times New Roman" w:hAnsi="Times New Roman"/>
          <w:bCs/>
          <w:noProof w:val="0"/>
          <w:kern w:val="0"/>
          <w:sz w:val="24"/>
          <w:szCs w:val="24"/>
          <w:lang w:eastAsia="ja-JP"/>
        </w:rPr>
        <w:t xml:space="preserve">; NM_004082; </w:t>
      </w:r>
      <w:proofErr w:type="spellStart"/>
      <w:r w:rsidRPr="00326DB3">
        <w:rPr>
          <w:rFonts w:ascii="Times New Roman" w:hAnsi="Times New Roman"/>
          <w:bCs/>
          <w:noProof w:val="0"/>
          <w:kern w:val="0"/>
          <w:sz w:val="24"/>
          <w:szCs w:val="24"/>
          <w:lang w:eastAsia="ja-JP"/>
        </w:rPr>
        <w:t>nt</w:t>
      </w:r>
      <w:proofErr w:type="spellEnd"/>
      <w:r w:rsidRPr="00326DB3">
        <w:rPr>
          <w:rFonts w:ascii="Times New Roman" w:hAnsi="Times New Roman"/>
          <w:bCs/>
          <w:noProof w:val="0"/>
          <w:kern w:val="0"/>
          <w:sz w:val="24"/>
          <w:szCs w:val="24"/>
          <w:lang w:eastAsia="ja-JP"/>
        </w:rPr>
        <w:t xml:space="preserve"> 2392–2774; 383 </w:t>
      </w:r>
      <w:proofErr w:type="spellStart"/>
      <w:r w:rsidRPr="00326DB3">
        <w:rPr>
          <w:rFonts w:ascii="Times New Roman" w:hAnsi="Times New Roman"/>
          <w:bCs/>
          <w:noProof w:val="0"/>
          <w:kern w:val="0"/>
          <w:sz w:val="24"/>
          <w:szCs w:val="24"/>
          <w:lang w:eastAsia="ja-JP"/>
        </w:rPr>
        <w:t>bp</w:t>
      </w:r>
      <w:proofErr w:type="spellEnd"/>
      <w:r w:rsidRPr="00326DB3">
        <w:rPr>
          <w:rFonts w:ascii="Times New Roman" w:hAnsi="Times New Roman"/>
          <w:bCs/>
          <w:noProof w:val="0"/>
          <w:kern w:val="0"/>
          <w:sz w:val="24"/>
          <w:szCs w:val="24"/>
          <w:lang w:eastAsia="ja-JP"/>
        </w:rPr>
        <w:t xml:space="preserve">) using SP6 or T7 polymerase (Roche Diagnostics). The sections were hybridized with the </w:t>
      </w:r>
      <w:proofErr w:type="spellStart"/>
      <w:r w:rsidRPr="00326DB3">
        <w:rPr>
          <w:rFonts w:ascii="Times New Roman" w:hAnsi="Times New Roman"/>
          <w:bCs/>
          <w:noProof w:val="0"/>
          <w:kern w:val="0"/>
          <w:sz w:val="24"/>
          <w:szCs w:val="24"/>
          <w:lang w:eastAsia="ja-JP"/>
        </w:rPr>
        <w:t>digoxigenin</w:t>
      </w:r>
      <w:proofErr w:type="spellEnd"/>
      <w:r w:rsidRPr="00326DB3">
        <w:rPr>
          <w:rFonts w:ascii="Times New Roman" w:hAnsi="Times New Roman"/>
          <w:bCs/>
          <w:noProof w:val="0"/>
          <w:kern w:val="0"/>
          <w:sz w:val="24"/>
          <w:szCs w:val="24"/>
          <w:lang w:eastAsia="ja-JP"/>
        </w:rPr>
        <w:t xml:space="preserve">-labeled </w:t>
      </w:r>
      <w:proofErr w:type="spellStart"/>
      <w:r w:rsidRPr="00326DB3">
        <w:rPr>
          <w:rFonts w:ascii="Times New Roman" w:hAnsi="Times New Roman"/>
          <w:bCs/>
          <w:noProof w:val="0"/>
          <w:kern w:val="0"/>
          <w:sz w:val="24"/>
          <w:szCs w:val="24"/>
          <w:lang w:eastAsia="ja-JP"/>
        </w:rPr>
        <w:t>cRNA</w:t>
      </w:r>
      <w:proofErr w:type="spellEnd"/>
      <w:r w:rsidRPr="00326DB3">
        <w:rPr>
          <w:rFonts w:ascii="Times New Roman" w:hAnsi="Times New Roman"/>
          <w:bCs/>
          <w:noProof w:val="0"/>
          <w:kern w:val="0"/>
          <w:sz w:val="24"/>
          <w:szCs w:val="24"/>
          <w:lang w:eastAsia="ja-JP"/>
        </w:rPr>
        <w:t xml:space="preserve"> probe overnight at 45°C. The washed sections were incubated with an alkaline phosphatase-conjugated anti-</w:t>
      </w:r>
      <w:proofErr w:type="spellStart"/>
      <w:r w:rsidRPr="00326DB3">
        <w:rPr>
          <w:rFonts w:ascii="Times New Roman" w:hAnsi="Times New Roman"/>
          <w:bCs/>
          <w:noProof w:val="0"/>
          <w:kern w:val="0"/>
          <w:sz w:val="24"/>
          <w:szCs w:val="24"/>
          <w:lang w:eastAsia="ja-JP"/>
        </w:rPr>
        <w:t>digoxigenin</w:t>
      </w:r>
      <w:proofErr w:type="spellEnd"/>
      <w:r w:rsidRPr="00326DB3">
        <w:rPr>
          <w:rFonts w:ascii="Times New Roman" w:hAnsi="Times New Roman"/>
          <w:bCs/>
          <w:noProof w:val="0"/>
          <w:kern w:val="0"/>
          <w:sz w:val="24"/>
          <w:szCs w:val="24"/>
          <w:lang w:eastAsia="ja-JP"/>
        </w:rPr>
        <w:t xml:space="preserve"> antibody (Roche Diagnostics), and the signal was visualized with nitro blue </w:t>
      </w:r>
      <w:proofErr w:type="spellStart"/>
      <w:r w:rsidRPr="00326DB3">
        <w:rPr>
          <w:rFonts w:ascii="Times New Roman" w:hAnsi="Times New Roman"/>
          <w:bCs/>
          <w:noProof w:val="0"/>
          <w:kern w:val="0"/>
          <w:sz w:val="24"/>
          <w:szCs w:val="24"/>
          <w:lang w:eastAsia="ja-JP"/>
        </w:rPr>
        <w:t>tetrazolium</w:t>
      </w:r>
      <w:proofErr w:type="spellEnd"/>
      <w:r w:rsidRPr="00326DB3">
        <w:rPr>
          <w:rFonts w:ascii="Times New Roman" w:hAnsi="Times New Roman"/>
          <w:bCs/>
          <w:noProof w:val="0"/>
          <w:kern w:val="0"/>
          <w:sz w:val="24"/>
          <w:szCs w:val="24"/>
          <w:lang w:eastAsia="ja-JP"/>
        </w:rPr>
        <w:t>/5-bromo-4-chloro-3-indolyl phosphate (Roche Diagnostics). No hybridization signal was observed with the sense probe in spinal motor neurons.</w:t>
      </w:r>
      <w:r>
        <w:rPr>
          <w:rFonts w:ascii="Times New Roman" w:hAnsi="Times New Roman"/>
          <w:bCs/>
          <w:noProof w:val="0"/>
          <w:kern w:val="0"/>
          <w:sz w:val="24"/>
          <w:szCs w:val="24"/>
          <w:lang w:eastAsia="ja-JP"/>
        </w:rPr>
        <w:t xml:space="preserve"> </w:t>
      </w:r>
      <w:r w:rsidRPr="001D6C77">
        <w:rPr>
          <w:rFonts w:ascii="Times New Roman" w:hAnsi="Times New Roman"/>
          <w:bCs/>
          <w:noProof w:val="0"/>
          <w:kern w:val="0"/>
          <w:sz w:val="24"/>
          <w:szCs w:val="24"/>
          <w:lang w:eastAsia="ja-JP"/>
        </w:rPr>
        <w:t xml:space="preserve">To investigate the correlation between expression levels of </w:t>
      </w:r>
      <w:r w:rsidRPr="001D6C77">
        <w:rPr>
          <w:rFonts w:ascii="Times New Roman" w:hAnsi="Times New Roman"/>
          <w:bCs/>
          <w:i/>
          <w:noProof w:val="0"/>
          <w:kern w:val="0"/>
          <w:sz w:val="24"/>
          <w:szCs w:val="24"/>
          <w:lang w:eastAsia="ja-JP"/>
        </w:rPr>
        <w:t>DCTN-1</w:t>
      </w:r>
      <w:r w:rsidRPr="001D6C77">
        <w:rPr>
          <w:rFonts w:ascii="Times New Roman" w:hAnsi="Times New Roman"/>
          <w:bCs/>
          <w:noProof w:val="0"/>
          <w:kern w:val="0"/>
          <w:sz w:val="24"/>
          <w:szCs w:val="24"/>
          <w:lang w:eastAsia="ja-JP"/>
        </w:rPr>
        <w:t xml:space="preserve"> and LC3 in an individual motor neuron we used consecutive transverse spinal cord sections. Ten sets of consecutive sections for the gene or protein of interest were prepared from each patient.</w:t>
      </w:r>
    </w:p>
    <w:p w:rsidR="006C01BE" w:rsidRPr="006C01BE" w:rsidRDefault="006C01BE">
      <w:pPr>
        <w:spacing w:line="480" w:lineRule="auto"/>
        <w:rPr>
          <w:rFonts w:ascii="Times New Roman" w:hAnsi="Times New Roman"/>
          <w:sz w:val="24"/>
          <w:szCs w:val="24"/>
        </w:rPr>
      </w:pPr>
      <w:r w:rsidRPr="006C01BE">
        <w:rPr>
          <w:rFonts w:ascii="Times New Roman" w:hAnsi="Times New Roman"/>
          <w:sz w:val="24"/>
          <w:szCs w:val="24"/>
        </w:rPr>
        <w:t>References</w:t>
      </w:r>
    </w:p>
    <w:p w:rsidR="006C01BE" w:rsidRPr="006C01BE" w:rsidRDefault="006C01BE" w:rsidP="006870F7">
      <w:pPr>
        <w:rPr>
          <w:sz w:val="20"/>
          <w:szCs w:val="24"/>
        </w:rPr>
      </w:pPr>
      <w:bookmarkStart w:id="1" w:name="_ENREF_1"/>
      <w:r w:rsidRPr="006C01BE">
        <w:rPr>
          <w:sz w:val="20"/>
          <w:szCs w:val="24"/>
        </w:rPr>
        <w:t xml:space="preserve">Hall DH, Gu G, Garcia-Anoveros J, Gong L, Chalfie M, Driscoll M (1997) Neuropathology of degenerative cell death in Caenorhabditis elegans. </w:t>
      </w:r>
      <w:r w:rsidRPr="006C01BE">
        <w:rPr>
          <w:i/>
          <w:sz w:val="20"/>
          <w:szCs w:val="24"/>
        </w:rPr>
        <w:t>J Neurosci</w:t>
      </w:r>
      <w:r w:rsidRPr="006C01BE">
        <w:rPr>
          <w:sz w:val="20"/>
          <w:szCs w:val="24"/>
        </w:rPr>
        <w:t xml:space="preserve"> </w:t>
      </w:r>
      <w:r w:rsidRPr="006C01BE">
        <w:rPr>
          <w:b/>
          <w:sz w:val="20"/>
          <w:szCs w:val="24"/>
        </w:rPr>
        <w:t>17:</w:t>
      </w:r>
      <w:r w:rsidRPr="006C01BE">
        <w:rPr>
          <w:sz w:val="20"/>
          <w:szCs w:val="24"/>
        </w:rPr>
        <w:t xml:space="preserve"> 1033-1045</w:t>
      </w:r>
    </w:p>
    <w:bookmarkEnd w:id="1"/>
    <w:p w:rsidR="006C01BE" w:rsidRPr="006C01BE" w:rsidRDefault="006C01BE" w:rsidP="006870F7">
      <w:pPr>
        <w:rPr>
          <w:sz w:val="20"/>
          <w:szCs w:val="24"/>
        </w:rPr>
      </w:pPr>
    </w:p>
    <w:p w:rsidR="006C01BE" w:rsidRPr="006C01BE" w:rsidRDefault="006C01BE" w:rsidP="006870F7">
      <w:pPr>
        <w:rPr>
          <w:sz w:val="20"/>
          <w:szCs w:val="24"/>
        </w:rPr>
      </w:pPr>
      <w:bookmarkStart w:id="2" w:name="_ENREF_2"/>
      <w:r w:rsidRPr="006C01BE">
        <w:rPr>
          <w:sz w:val="20"/>
          <w:szCs w:val="24"/>
        </w:rPr>
        <w:t xml:space="preserve">Ishigaki S, Liang Y, Yamamoto M, Niwa J, Ando Y, Yoshihara T, Takeuchi H, Doyu M, Sobue G (2002) X-Linked inhibitor of apoptosis protein is involved in mutant SOD1-mediated neuronal degeneration. </w:t>
      </w:r>
      <w:r w:rsidRPr="006C01BE">
        <w:rPr>
          <w:i/>
          <w:sz w:val="20"/>
          <w:szCs w:val="24"/>
        </w:rPr>
        <w:t>J Neurochem</w:t>
      </w:r>
      <w:r w:rsidRPr="006C01BE">
        <w:rPr>
          <w:sz w:val="20"/>
          <w:szCs w:val="24"/>
        </w:rPr>
        <w:t xml:space="preserve"> </w:t>
      </w:r>
      <w:r w:rsidRPr="006C01BE">
        <w:rPr>
          <w:b/>
          <w:sz w:val="20"/>
          <w:szCs w:val="24"/>
        </w:rPr>
        <w:t>82:</w:t>
      </w:r>
      <w:r w:rsidRPr="006C01BE">
        <w:rPr>
          <w:sz w:val="20"/>
          <w:szCs w:val="24"/>
        </w:rPr>
        <w:t xml:space="preserve"> 576-584</w:t>
      </w:r>
    </w:p>
    <w:bookmarkEnd w:id="2"/>
    <w:p w:rsidR="006C01BE" w:rsidRPr="006C01BE" w:rsidRDefault="006C01BE" w:rsidP="006870F7">
      <w:pPr>
        <w:rPr>
          <w:sz w:val="20"/>
          <w:szCs w:val="24"/>
        </w:rPr>
      </w:pPr>
    </w:p>
    <w:p w:rsidR="006C01BE" w:rsidRPr="006C01BE" w:rsidRDefault="006C01BE" w:rsidP="006870F7">
      <w:pPr>
        <w:rPr>
          <w:sz w:val="20"/>
          <w:szCs w:val="24"/>
        </w:rPr>
      </w:pPr>
      <w:bookmarkStart w:id="3" w:name="_ENREF_3"/>
      <w:r w:rsidRPr="006C01BE">
        <w:rPr>
          <w:sz w:val="20"/>
          <w:szCs w:val="24"/>
        </w:rPr>
        <w:t xml:space="preserve">Mello CC, Kramer JM, Stinchcomb D, Ambros V (1991) Efficient gene transfer in C.elegans: extrachromosomal maintenance and integration of transforming sequences. </w:t>
      </w:r>
      <w:r w:rsidRPr="006C01BE">
        <w:rPr>
          <w:i/>
          <w:sz w:val="20"/>
          <w:szCs w:val="24"/>
        </w:rPr>
        <w:t>EMBO J</w:t>
      </w:r>
      <w:r w:rsidRPr="006C01BE">
        <w:rPr>
          <w:sz w:val="20"/>
          <w:szCs w:val="24"/>
        </w:rPr>
        <w:t xml:space="preserve"> </w:t>
      </w:r>
      <w:r w:rsidRPr="006C01BE">
        <w:rPr>
          <w:b/>
          <w:sz w:val="20"/>
          <w:szCs w:val="24"/>
        </w:rPr>
        <w:t>10:</w:t>
      </w:r>
      <w:r w:rsidRPr="006C01BE">
        <w:rPr>
          <w:sz w:val="20"/>
          <w:szCs w:val="24"/>
        </w:rPr>
        <w:t xml:space="preserve"> 3959-3970</w:t>
      </w:r>
    </w:p>
    <w:bookmarkEnd w:id="3"/>
    <w:p w:rsidR="006C01BE" w:rsidRPr="006C01BE" w:rsidRDefault="006C01BE" w:rsidP="006870F7">
      <w:pPr>
        <w:rPr>
          <w:sz w:val="20"/>
          <w:szCs w:val="24"/>
        </w:rPr>
      </w:pPr>
    </w:p>
    <w:p w:rsidR="006C01BE" w:rsidRPr="006C01BE" w:rsidRDefault="006C01BE" w:rsidP="006870F7">
      <w:pPr>
        <w:rPr>
          <w:sz w:val="20"/>
          <w:szCs w:val="24"/>
        </w:rPr>
      </w:pPr>
      <w:bookmarkStart w:id="4" w:name="_ENREF_4"/>
      <w:r w:rsidRPr="006C01BE">
        <w:rPr>
          <w:sz w:val="20"/>
          <w:szCs w:val="24"/>
        </w:rPr>
        <w:t xml:space="preserve">Stiernagle T (2006) Maintenance of C. elegans. </w:t>
      </w:r>
      <w:r w:rsidRPr="006C01BE">
        <w:rPr>
          <w:i/>
          <w:sz w:val="20"/>
          <w:szCs w:val="24"/>
        </w:rPr>
        <w:t>WormBook</w:t>
      </w:r>
      <w:r w:rsidRPr="006C01BE">
        <w:rPr>
          <w:b/>
          <w:sz w:val="20"/>
          <w:szCs w:val="24"/>
        </w:rPr>
        <w:t>:</w:t>
      </w:r>
      <w:r w:rsidRPr="006C01BE">
        <w:rPr>
          <w:sz w:val="20"/>
          <w:szCs w:val="24"/>
        </w:rPr>
        <w:t xml:space="preserve"> 1-11</w:t>
      </w:r>
    </w:p>
    <w:bookmarkEnd w:id="4"/>
    <w:p w:rsidR="006C01BE" w:rsidRPr="006C01BE" w:rsidRDefault="006C01BE" w:rsidP="006870F7">
      <w:pPr>
        <w:rPr>
          <w:sz w:val="20"/>
          <w:szCs w:val="24"/>
        </w:rPr>
      </w:pPr>
    </w:p>
    <w:p w:rsidR="00DA13EB" w:rsidRPr="006C01BE" w:rsidRDefault="006C01BE">
      <w:pPr>
        <w:rPr>
          <w:sz w:val="20"/>
          <w:szCs w:val="24"/>
          <w:lang w:eastAsia="ja-JP"/>
        </w:rPr>
      </w:pPr>
      <w:bookmarkStart w:id="5" w:name="_ENREF_5"/>
      <w:r w:rsidRPr="006C01BE">
        <w:rPr>
          <w:sz w:val="20"/>
          <w:szCs w:val="24"/>
        </w:rPr>
        <w:t xml:space="preserve">Yu S, Avery L, Baude E, Garbers DL (1997) Guanylyl cyclase expression in specific sensory neurons: a new family of chemosensory receptors. </w:t>
      </w:r>
      <w:r w:rsidRPr="006C01BE">
        <w:rPr>
          <w:i/>
          <w:sz w:val="20"/>
          <w:szCs w:val="24"/>
        </w:rPr>
        <w:t>Proc Natl Acad Sci U S A</w:t>
      </w:r>
      <w:r w:rsidRPr="006C01BE">
        <w:rPr>
          <w:sz w:val="20"/>
          <w:szCs w:val="24"/>
        </w:rPr>
        <w:t xml:space="preserve"> </w:t>
      </w:r>
      <w:r w:rsidRPr="006C01BE">
        <w:rPr>
          <w:b/>
          <w:sz w:val="20"/>
          <w:szCs w:val="24"/>
        </w:rPr>
        <w:t>94:</w:t>
      </w:r>
      <w:r w:rsidRPr="006C01BE">
        <w:rPr>
          <w:sz w:val="20"/>
          <w:szCs w:val="24"/>
        </w:rPr>
        <w:t xml:space="preserve"> 3384-3387</w:t>
      </w:r>
      <w:bookmarkEnd w:id="5"/>
    </w:p>
    <w:sectPr w:rsidR="00DA13EB" w:rsidRPr="006C01BE" w:rsidSect="0008396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1A" w:rsidRDefault="0088791A">
      <w:r>
        <w:separator/>
      </w:r>
    </w:p>
  </w:endnote>
  <w:endnote w:type="continuationSeparator" w:id="0">
    <w:p w:rsidR="0088791A" w:rsidRDefault="0088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64" w:rsidRDefault="006C01BE">
    <w:pPr>
      <w:pStyle w:val="a5"/>
      <w:jc w:val="right"/>
      <w:rPr>
        <w:rFonts w:ascii="Times New Roman" w:hAnsi="Times New Roman"/>
      </w:rPr>
    </w:pPr>
    <w:r>
      <w:fldChar w:fldCharType="begin"/>
    </w:r>
    <w:r>
      <w:instrText xml:space="preserve"> PAGE   \* MERGEFORMAT </w:instrText>
    </w:r>
    <w:r>
      <w:fldChar w:fldCharType="separate"/>
    </w:r>
    <w:r w:rsidR="001501A8" w:rsidRPr="001501A8">
      <w:rPr>
        <w:lang w:val="ja-JP"/>
      </w:rPr>
      <w:t>1</w:t>
    </w:r>
    <w:r>
      <w:rPr>
        <w:lang w:val="ja-JP"/>
      </w:rPr>
      <w:fldChar w:fldCharType="end"/>
    </w:r>
  </w:p>
  <w:p w:rsidR="00386064" w:rsidRDefault="0088791A">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1A" w:rsidRDefault="0088791A">
      <w:r>
        <w:separator/>
      </w:r>
    </w:p>
  </w:footnote>
  <w:footnote w:type="continuationSeparator" w:id="0">
    <w:p w:rsidR="0088791A" w:rsidRDefault="00887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64" w:rsidRDefault="0088791A">
    <w:pPr>
      <w:pStyle w:val="a3"/>
      <w:rPr>
        <w:rFonts w:ascii="Times New Roman" w:hAnsi="Times New Roman"/>
      </w:rPr>
    </w:pPr>
  </w:p>
  <w:p w:rsidR="00386064" w:rsidRDefault="0088791A">
    <w:pPr>
      <w:pStyle w:val="a3"/>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C01BE"/>
    <w:rsid w:val="00037483"/>
    <w:rsid w:val="001048DA"/>
    <w:rsid w:val="001501A8"/>
    <w:rsid w:val="003B43C6"/>
    <w:rsid w:val="006C01BE"/>
    <w:rsid w:val="0088791A"/>
    <w:rsid w:val="009D1D60"/>
    <w:rsid w:val="00A47CFE"/>
    <w:rsid w:val="00A8180D"/>
    <w:rsid w:val="00BC42DD"/>
    <w:rsid w:val="00E176E2"/>
    <w:rsid w:val="00FE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1BE"/>
    <w:pPr>
      <w:widowControl w:val="0"/>
      <w:jc w:val="both"/>
    </w:pPr>
    <w:rPr>
      <w:rFonts w:ascii="Century" w:eastAsia="ＭＳ 明朝" w:hAnsi="Century" w:cs="Times New Roman"/>
      <w:noProof/>
      <w:lang w:eastAsia="en-US"/>
    </w:rPr>
  </w:style>
  <w:style w:type="paragraph" w:styleId="2">
    <w:name w:val="heading 2"/>
    <w:basedOn w:val="a"/>
    <w:next w:val="a"/>
    <w:link w:val="20"/>
    <w:uiPriority w:val="99"/>
    <w:qFormat/>
    <w:rsid w:val="006C01BE"/>
    <w:pPr>
      <w:keepNext/>
      <w:adjustRightInd w:val="0"/>
      <w:spacing w:line="360" w:lineRule="auto"/>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rsid w:val="006C01BE"/>
    <w:rPr>
      <w:rFonts w:ascii="Arial" w:eastAsia="ＭＳ ゴシック" w:hAnsi="Arial" w:cs="Times New Roman"/>
      <w:noProof/>
      <w:kern w:val="0"/>
      <w:sz w:val="20"/>
      <w:szCs w:val="20"/>
      <w:lang w:eastAsia="en-US"/>
    </w:rPr>
  </w:style>
  <w:style w:type="paragraph" w:styleId="Web">
    <w:name w:val="Normal (Web)"/>
    <w:basedOn w:val="a"/>
    <w:uiPriority w:val="99"/>
    <w:semiHidden/>
    <w:rsid w:val="006C01BE"/>
    <w:rPr>
      <w:rFonts w:ascii="Times New Roman" w:hAnsi="Times New Roman"/>
      <w:sz w:val="24"/>
      <w:szCs w:val="24"/>
    </w:rPr>
  </w:style>
  <w:style w:type="paragraph" w:styleId="a3">
    <w:name w:val="header"/>
    <w:basedOn w:val="a"/>
    <w:link w:val="1"/>
    <w:uiPriority w:val="99"/>
    <w:semiHidden/>
    <w:rsid w:val="006C01BE"/>
    <w:pPr>
      <w:tabs>
        <w:tab w:val="center" w:pos="4252"/>
        <w:tab w:val="right" w:pos="8504"/>
      </w:tabs>
      <w:snapToGrid w:val="0"/>
    </w:pPr>
    <w:rPr>
      <w:kern w:val="0"/>
      <w:sz w:val="20"/>
      <w:szCs w:val="20"/>
    </w:rPr>
  </w:style>
  <w:style w:type="character" w:customStyle="1" w:styleId="a4">
    <w:name w:val="ヘッダー (文字)"/>
    <w:uiPriority w:val="99"/>
    <w:rsid w:val="006C01BE"/>
    <w:rPr>
      <w:rFonts w:ascii="Times New Roman" w:hAnsi="Times New Roman"/>
    </w:rPr>
  </w:style>
  <w:style w:type="character" w:customStyle="1" w:styleId="1">
    <w:name w:val="ヘッダー (文字)1"/>
    <w:basedOn w:val="a0"/>
    <w:link w:val="a3"/>
    <w:uiPriority w:val="99"/>
    <w:semiHidden/>
    <w:locked/>
    <w:rsid w:val="006C01BE"/>
    <w:rPr>
      <w:rFonts w:ascii="Century" w:eastAsia="ＭＳ 明朝" w:hAnsi="Century" w:cs="Times New Roman"/>
      <w:noProof/>
      <w:kern w:val="0"/>
      <w:sz w:val="20"/>
      <w:szCs w:val="20"/>
      <w:lang w:eastAsia="en-US"/>
    </w:rPr>
  </w:style>
  <w:style w:type="paragraph" w:styleId="a5">
    <w:name w:val="footer"/>
    <w:basedOn w:val="a"/>
    <w:link w:val="10"/>
    <w:uiPriority w:val="99"/>
    <w:semiHidden/>
    <w:rsid w:val="006C01BE"/>
    <w:pPr>
      <w:tabs>
        <w:tab w:val="center" w:pos="4252"/>
        <w:tab w:val="right" w:pos="8504"/>
      </w:tabs>
      <w:snapToGrid w:val="0"/>
    </w:pPr>
    <w:rPr>
      <w:kern w:val="0"/>
      <w:sz w:val="20"/>
      <w:szCs w:val="20"/>
    </w:rPr>
  </w:style>
  <w:style w:type="character" w:customStyle="1" w:styleId="a6">
    <w:name w:val="フッター (文字)"/>
    <w:uiPriority w:val="99"/>
    <w:rsid w:val="006C01BE"/>
    <w:rPr>
      <w:rFonts w:ascii="Times New Roman" w:hAnsi="Times New Roman"/>
    </w:rPr>
  </w:style>
  <w:style w:type="character" w:customStyle="1" w:styleId="10">
    <w:name w:val="フッター (文字)1"/>
    <w:basedOn w:val="a0"/>
    <w:link w:val="a5"/>
    <w:uiPriority w:val="99"/>
    <w:semiHidden/>
    <w:locked/>
    <w:rsid w:val="006C01BE"/>
    <w:rPr>
      <w:rFonts w:ascii="Century" w:eastAsia="ＭＳ 明朝" w:hAnsi="Century" w:cs="Times New Roman"/>
      <w:noProof/>
      <w:kern w:val="0"/>
      <w:sz w:val="20"/>
      <w:szCs w:val="20"/>
      <w:lang w:eastAsia="en-US"/>
    </w:rPr>
  </w:style>
  <w:style w:type="character" w:styleId="a7">
    <w:name w:val="Hyperlink"/>
    <w:basedOn w:val="a0"/>
    <w:uiPriority w:val="99"/>
    <w:semiHidden/>
    <w:rsid w:val="006C01BE"/>
    <w:rPr>
      <w:rFonts w:cs="Times New Roman"/>
      <w:color w:val="0000FF"/>
      <w:u w:val="single"/>
    </w:rPr>
  </w:style>
  <w:style w:type="character" w:styleId="a8">
    <w:name w:val="FollowedHyperlink"/>
    <w:basedOn w:val="a0"/>
    <w:uiPriority w:val="99"/>
    <w:semiHidden/>
    <w:rsid w:val="006C01BE"/>
    <w:rPr>
      <w:rFonts w:cs="Times New Roman"/>
      <w:color w:val="800080"/>
      <w:u w:val="single"/>
    </w:rPr>
  </w:style>
  <w:style w:type="character" w:styleId="a9">
    <w:name w:val="annotation reference"/>
    <w:basedOn w:val="a0"/>
    <w:uiPriority w:val="99"/>
    <w:semiHidden/>
    <w:rsid w:val="006C01BE"/>
    <w:rPr>
      <w:rFonts w:cs="Times New Roman"/>
      <w:sz w:val="18"/>
    </w:rPr>
  </w:style>
  <w:style w:type="paragraph" w:styleId="aa">
    <w:name w:val="annotation text"/>
    <w:basedOn w:val="a"/>
    <w:link w:val="ab"/>
    <w:uiPriority w:val="99"/>
    <w:semiHidden/>
    <w:rsid w:val="006C01BE"/>
    <w:pPr>
      <w:jc w:val="left"/>
    </w:pPr>
    <w:rPr>
      <w:kern w:val="0"/>
      <w:sz w:val="20"/>
      <w:szCs w:val="20"/>
    </w:rPr>
  </w:style>
  <w:style w:type="character" w:customStyle="1" w:styleId="ab">
    <w:name w:val="コメント文字列 (文字)"/>
    <w:basedOn w:val="a0"/>
    <w:link w:val="aa"/>
    <w:uiPriority w:val="99"/>
    <w:semiHidden/>
    <w:rsid w:val="006C01BE"/>
    <w:rPr>
      <w:rFonts w:ascii="Century" w:eastAsia="ＭＳ 明朝" w:hAnsi="Century" w:cs="Times New Roman"/>
      <w:noProof/>
      <w:kern w:val="0"/>
      <w:sz w:val="20"/>
      <w:szCs w:val="20"/>
      <w:lang w:eastAsia="en-US"/>
    </w:rPr>
  </w:style>
  <w:style w:type="paragraph" w:styleId="ac">
    <w:name w:val="annotation subject"/>
    <w:basedOn w:val="aa"/>
    <w:next w:val="aa"/>
    <w:link w:val="ad"/>
    <w:uiPriority w:val="99"/>
    <w:semiHidden/>
    <w:rsid w:val="006C01BE"/>
    <w:rPr>
      <w:b/>
      <w:bCs/>
    </w:rPr>
  </w:style>
  <w:style w:type="character" w:customStyle="1" w:styleId="ad">
    <w:name w:val="コメント内容 (文字)"/>
    <w:basedOn w:val="ab"/>
    <w:link w:val="ac"/>
    <w:uiPriority w:val="99"/>
    <w:semiHidden/>
    <w:rsid w:val="006C01BE"/>
    <w:rPr>
      <w:rFonts w:ascii="Century" w:eastAsia="ＭＳ 明朝" w:hAnsi="Century" w:cs="Times New Roman"/>
      <w:b/>
      <w:bCs/>
      <w:noProof/>
      <w:kern w:val="0"/>
      <w:sz w:val="20"/>
      <w:szCs w:val="20"/>
      <w:lang w:eastAsia="en-US"/>
    </w:rPr>
  </w:style>
  <w:style w:type="paragraph" w:styleId="ae">
    <w:name w:val="Balloon Text"/>
    <w:basedOn w:val="a"/>
    <w:link w:val="af"/>
    <w:uiPriority w:val="99"/>
    <w:semiHidden/>
    <w:rsid w:val="006C01BE"/>
    <w:rPr>
      <w:rFonts w:ascii="Arial" w:eastAsia="ＭＳ ゴシック" w:hAnsi="Arial"/>
      <w:kern w:val="0"/>
      <w:sz w:val="2"/>
    </w:rPr>
  </w:style>
  <w:style w:type="character" w:customStyle="1" w:styleId="af">
    <w:name w:val="吹き出し (文字)"/>
    <w:basedOn w:val="a0"/>
    <w:link w:val="ae"/>
    <w:uiPriority w:val="99"/>
    <w:semiHidden/>
    <w:rsid w:val="006C01BE"/>
    <w:rPr>
      <w:rFonts w:ascii="Arial" w:eastAsia="ＭＳ ゴシック" w:hAnsi="Arial" w:cs="Times New Roman"/>
      <w:noProof/>
      <w:kern w:val="0"/>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1BE"/>
    <w:pPr>
      <w:widowControl w:val="0"/>
      <w:jc w:val="both"/>
    </w:pPr>
    <w:rPr>
      <w:rFonts w:ascii="Century" w:eastAsia="ＭＳ 明朝" w:hAnsi="Century" w:cs="Times New Roman"/>
      <w:noProof/>
      <w:lang w:eastAsia="en-US"/>
    </w:rPr>
  </w:style>
  <w:style w:type="paragraph" w:styleId="2">
    <w:name w:val="heading 2"/>
    <w:basedOn w:val="a"/>
    <w:next w:val="a"/>
    <w:link w:val="20"/>
    <w:uiPriority w:val="99"/>
    <w:qFormat/>
    <w:rsid w:val="006C01BE"/>
    <w:pPr>
      <w:keepNext/>
      <w:adjustRightInd w:val="0"/>
      <w:spacing w:line="360" w:lineRule="auto"/>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rsid w:val="006C01BE"/>
    <w:rPr>
      <w:rFonts w:ascii="Arial" w:eastAsia="ＭＳ ゴシック" w:hAnsi="Arial" w:cs="Times New Roman"/>
      <w:noProof/>
      <w:kern w:val="0"/>
      <w:sz w:val="20"/>
      <w:szCs w:val="20"/>
      <w:lang w:eastAsia="en-US"/>
    </w:rPr>
  </w:style>
  <w:style w:type="paragraph" w:styleId="Web">
    <w:name w:val="Normal (Web)"/>
    <w:basedOn w:val="a"/>
    <w:uiPriority w:val="99"/>
    <w:semiHidden/>
    <w:rsid w:val="006C01BE"/>
    <w:rPr>
      <w:rFonts w:ascii="Times New Roman" w:hAnsi="Times New Roman"/>
      <w:sz w:val="24"/>
      <w:szCs w:val="24"/>
    </w:rPr>
  </w:style>
  <w:style w:type="paragraph" w:styleId="a3">
    <w:name w:val="header"/>
    <w:basedOn w:val="a"/>
    <w:link w:val="1"/>
    <w:uiPriority w:val="99"/>
    <w:semiHidden/>
    <w:rsid w:val="006C01BE"/>
    <w:pPr>
      <w:tabs>
        <w:tab w:val="center" w:pos="4252"/>
        <w:tab w:val="right" w:pos="8504"/>
      </w:tabs>
      <w:snapToGrid w:val="0"/>
    </w:pPr>
    <w:rPr>
      <w:kern w:val="0"/>
      <w:sz w:val="20"/>
      <w:szCs w:val="20"/>
    </w:rPr>
  </w:style>
  <w:style w:type="character" w:customStyle="1" w:styleId="a4">
    <w:name w:val="ヘッダー (文字)"/>
    <w:uiPriority w:val="99"/>
    <w:rsid w:val="006C01BE"/>
    <w:rPr>
      <w:rFonts w:ascii="Times New Roman" w:hAnsi="Times New Roman"/>
    </w:rPr>
  </w:style>
  <w:style w:type="character" w:customStyle="1" w:styleId="1">
    <w:name w:val="ヘッダー (文字)1"/>
    <w:basedOn w:val="a0"/>
    <w:link w:val="a3"/>
    <w:uiPriority w:val="99"/>
    <w:semiHidden/>
    <w:locked/>
    <w:rsid w:val="006C01BE"/>
    <w:rPr>
      <w:rFonts w:ascii="Century" w:eastAsia="ＭＳ 明朝" w:hAnsi="Century" w:cs="Times New Roman"/>
      <w:noProof/>
      <w:kern w:val="0"/>
      <w:sz w:val="20"/>
      <w:szCs w:val="20"/>
      <w:lang w:eastAsia="en-US"/>
    </w:rPr>
  </w:style>
  <w:style w:type="paragraph" w:styleId="a5">
    <w:name w:val="footer"/>
    <w:basedOn w:val="a"/>
    <w:link w:val="10"/>
    <w:uiPriority w:val="99"/>
    <w:semiHidden/>
    <w:rsid w:val="006C01BE"/>
    <w:pPr>
      <w:tabs>
        <w:tab w:val="center" w:pos="4252"/>
        <w:tab w:val="right" w:pos="8504"/>
      </w:tabs>
      <w:snapToGrid w:val="0"/>
    </w:pPr>
    <w:rPr>
      <w:kern w:val="0"/>
      <w:sz w:val="20"/>
      <w:szCs w:val="20"/>
    </w:rPr>
  </w:style>
  <w:style w:type="character" w:customStyle="1" w:styleId="a6">
    <w:name w:val="フッター (文字)"/>
    <w:uiPriority w:val="99"/>
    <w:rsid w:val="006C01BE"/>
    <w:rPr>
      <w:rFonts w:ascii="Times New Roman" w:hAnsi="Times New Roman"/>
    </w:rPr>
  </w:style>
  <w:style w:type="character" w:customStyle="1" w:styleId="10">
    <w:name w:val="フッター (文字)1"/>
    <w:basedOn w:val="a0"/>
    <w:link w:val="a5"/>
    <w:uiPriority w:val="99"/>
    <w:semiHidden/>
    <w:locked/>
    <w:rsid w:val="006C01BE"/>
    <w:rPr>
      <w:rFonts w:ascii="Century" w:eastAsia="ＭＳ 明朝" w:hAnsi="Century" w:cs="Times New Roman"/>
      <w:noProof/>
      <w:kern w:val="0"/>
      <w:sz w:val="20"/>
      <w:szCs w:val="20"/>
      <w:lang w:eastAsia="en-US"/>
    </w:rPr>
  </w:style>
  <w:style w:type="character" w:styleId="a7">
    <w:name w:val="Hyperlink"/>
    <w:basedOn w:val="a0"/>
    <w:uiPriority w:val="99"/>
    <w:semiHidden/>
    <w:rsid w:val="006C01BE"/>
    <w:rPr>
      <w:rFonts w:cs="Times New Roman"/>
      <w:color w:val="0000FF"/>
      <w:u w:val="single"/>
    </w:rPr>
  </w:style>
  <w:style w:type="character" w:styleId="a8">
    <w:name w:val="FollowedHyperlink"/>
    <w:basedOn w:val="a0"/>
    <w:uiPriority w:val="99"/>
    <w:semiHidden/>
    <w:rsid w:val="006C01BE"/>
    <w:rPr>
      <w:rFonts w:cs="Times New Roman"/>
      <w:color w:val="800080"/>
      <w:u w:val="single"/>
    </w:rPr>
  </w:style>
  <w:style w:type="character" w:styleId="a9">
    <w:name w:val="annotation reference"/>
    <w:basedOn w:val="a0"/>
    <w:uiPriority w:val="99"/>
    <w:semiHidden/>
    <w:rsid w:val="006C01BE"/>
    <w:rPr>
      <w:rFonts w:cs="Times New Roman"/>
      <w:sz w:val="18"/>
    </w:rPr>
  </w:style>
  <w:style w:type="paragraph" w:styleId="aa">
    <w:name w:val="annotation text"/>
    <w:basedOn w:val="a"/>
    <w:link w:val="ab"/>
    <w:uiPriority w:val="99"/>
    <w:semiHidden/>
    <w:rsid w:val="006C01BE"/>
    <w:pPr>
      <w:jc w:val="left"/>
    </w:pPr>
    <w:rPr>
      <w:kern w:val="0"/>
      <w:sz w:val="20"/>
      <w:szCs w:val="20"/>
    </w:rPr>
  </w:style>
  <w:style w:type="character" w:customStyle="1" w:styleId="ab">
    <w:name w:val="コメント文字列 (文字)"/>
    <w:basedOn w:val="a0"/>
    <w:link w:val="aa"/>
    <w:uiPriority w:val="99"/>
    <w:semiHidden/>
    <w:rsid w:val="006C01BE"/>
    <w:rPr>
      <w:rFonts w:ascii="Century" w:eastAsia="ＭＳ 明朝" w:hAnsi="Century" w:cs="Times New Roman"/>
      <w:noProof/>
      <w:kern w:val="0"/>
      <w:sz w:val="20"/>
      <w:szCs w:val="20"/>
      <w:lang w:eastAsia="en-US"/>
    </w:rPr>
  </w:style>
  <w:style w:type="paragraph" w:styleId="ac">
    <w:name w:val="annotation subject"/>
    <w:basedOn w:val="aa"/>
    <w:next w:val="aa"/>
    <w:link w:val="ad"/>
    <w:uiPriority w:val="99"/>
    <w:semiHidden/>
    <w:rsid w:val="006C01BE"/>
    <w:rPr>
      <w:b/>
      <w:bCs/>
    </w:rPr>
  </w:style>
  <w:style w:type="character" w:customStyle="1" w:styleId="ad">
    <w:name w:val="コメント内容 (文字)"/>
    <w:basedOn w:val="ab"/>
    <w:link w:val="ac"/>
    <w:uiPriority w:val="99"/>
    <w:semiHidden/>
    <w:rsid w:val="006C01BE"/>
    <w:rPr>
      <w:rFonts w:ascii="Century" w:eastAsia="ＭＳ 明朝" w:hAnsi="Century" w:cs="Times New Roman"/>
      <w:b/>
      <w:bCs/>
      <w:noProof/>
      <w:kern w:val="0"/>
      <w:sz w:val="20"/>
      <w:szCs w:val="20"/>
      <w:lang w:eastAsia="en-US"/>
    </w:rPr>
  </w:style>
  <w:style w:type="paragraph" w:styleId="ae">
    <w:name w:val="Balloon Text"/>
    <w:basedOn w:val="a"/>
    <w:link w:val="af"/>
    <w:uiPriority w:val="99"/>
    <w:semiHidden/>
    <w:rsid w:val="006C01BE"/>
    <w:rPr>
      <w:rFonts w:ascii="Arial" w:eastAsia="ＭＳ ゴシック" w:hAnsi="Arial"/>
      <w:kern w:val="0"/>
      <w:sz w:val="2"/>
    </w:rPr>
  </w:style>
  <w:style w:type="character" w:customStyle="1" w:styleId="af">
    <w:name w:val="吹き出し (文字)"/>
    <w:basedOn w:val="a0"/>
    <w:link w:val="ae"/>
    <w:uiPriority w:val="99"/>
    <w:semiHidden/>
    <w:rsid w:val="006C01BE"/>
    <w:rPr>
      <w:rFonts w:ascii="Arial" w:eastAsia="ＭＳ ゴシック" w:hAnsi="Arial" w:cs="Times New Roman"/>
      <w:noProof/>
      <w:kern w:val="0"/>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1294</Words>
  <Characters>7381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ikenaka</dc:creator>
  <cp:lastModifiedBy>ikenaka</cp:lastModifiedBy>
  <cp:revision>4</cp:revision>
  <dcterms:created xsi:type="dcterms:W3CDTF">2012-12-20T12:10:00Z</dcterms:created>
  <dcterms:modified xsi:type="dcterms:W3CDTF">2013-01-15T11:30:00Z</dcterms:modified>
</cp:coreProperties>
</file>