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94C2" w14:textId="77777777" w:rsidR="00976076" w:rsidRDefault="00976076" w:rsidP="00976076">
      <w:pPr>
        <w:snapToGrid w:val="0"/>
        <w:rPr>
          <w:rFonts w:ascii="Courier" w:hAnsi="Courier"/>
          <w:b/>
        </w:rPr>
      </w:pPr>
      <w:r>
        <w:rPr>
          <w:rFonts w:ascii="Courier" w:hAnsi="Courier"/>
          <w:b/>
        </w:rPr>
        <w:t>Table S1.  Antibodies used in the study.</w:t>
      </w:r>
    </w:p>
    <w:p w14:paraId="0FED9425" w14:textId="77777777" w:rsidR="00976076" w:rsidRDefault="00976076" w:rsidP="009760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F8680" wp14:editId="59B7A494">
                <wp:simplePos x="0" y="0"/>
                <wp:positionH relativeFrom="column">
                  <wp:posOffset>-8255</wp:posOffset>
                </wp:positionH>
                <wp:positionV relativeFrom="paragraph">
                  <wp:posOffset>238760</wp:posOffset>
                </wp:positionV>
                <wp:extent cx="5372100" cy="0"/>
                <wp:effectExtent l="29845" t="22860" r="33655" b="406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.8pt" to="422.4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aFJx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" strokeweight="1.5pt"/>
            </w:pict>
          </mc:Fallback>
        </mc:AlternateContent>
      </w:r>
    </w:p>
    <w:p w14:paraId="285915BA" w14:textId="77777777" w:rsidR="00976076" w:rsidRDefault="00976076" w:rsidP="00976076">
      <w:pPr>
        <w:snapToGrid w:val="0"/>
        <w:rPr>
          <w:rFonts w:ascii="Courier" w:hAnsi="Courier"/>
          <w:b/>
          <w:sz w:val="22"/>
        </w:rPr>
      </w:pPr>
      <w:r>
        <w:rPr>
          <w:rFonts w:ascii="Courier" w:hAnsi="Courier"/>
          <w:b/>
          <w:sz w:val="22"/>
        </w:rPr>
        <w:t>Antibody</w:t>
      </w:r>
      <w:r>
        <w:rPr>
          <w:rFonts w:ascii="Courier" w:hAnsi="Courier"/>
          <w:sz w:val="22"/>
        </w:rPr>
        <w:t xml:space="preserve"> (Clone or Product number)</w:t>
      </w:r>
      <w:r>
        <w:rPr>
          <w:rFonts w:ascii="Courier" w:hAnsi="Courier"/>
          <w:sz w:val="22"/>
        </w:rPr>
        <w:tab/>
      </w:r>
      <w:proofErr w:type="gramStart"/>
      <w:r>
        <w:rPr>
          <w:rFonts w:ascii="Courier" w:hAnsi="Courier"/>
          <w:b/>
          <w:sz w:val="22"/>
        </w:rPr>
        <w:t>Species(</w:t>
      </w:r>
      <w:proofErr w:type="gramEnd"/>
      <w:r>
        <w:rPr>
          <w:rFonts w:ascii="Courier" w:hAnsi="Courier"/>
          <w:b/>
          <w:sz w:val="22"/>
        </w:rPr>
        <w:t>*)</w:t>
      </w:r>
      <w:r>
        <w:rPr>
          <w:rFonts w:ascii="Courier" w:hAnsi="Courier"/>
          <w:b/>
          <w:sz w:val="22"/>
        </w:rPr>
        <w:tab/>
        <w:t>Manufacturer</w:t>
      </w:r>
    </w:p>
    <w:p w14:paraId="7CA34294" w14:textId="77777777" w:rsidR="00976076" w:rsidRDefault="00976076" w:rsidP="00976076">
      <w:pPr>
        <w:snapToGrid w:val="0"/>
        <w:rPr>
          <w:rFonts w:ascii="Courier" w:hAnsi="Courier"/>
          <w:b/>
          <w:sz w:val="22"/>
        </w:rPr>
      </w:pPr>
      <w:r>
        <w:rPr>
          <w:rFonts w:ascii="Courier" w:hAnsi="Courier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B7ED" wp14:editId="0F69EA19">
                <wp:simplePos x="0" y="0"/>
                <wp:positionH relativeFrom="column">
                  <wp:posOffset>-17145</wp:posOffset>
                </wp:positionH>
                <wp:positionV relativeFrom="paragraph">
                  <wp:posOffset>8255</wp:posOffset>
                </wp:positionV>
                <wp:extent cx="5372100" cy="0"/>
                <wp:effectExtent l="20955" t="20955" r="42545" b="425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421.7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Lwjx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" strokeweight="1.5pt"/>
            </w:pict>
          </mc:Fallback>
        </mc:AlternateContent>
      </w:r>
      <w:r>
        <w:rPr>
          <w:rFonts w:ascii="Courier" w:hAnsi="Courier"/>
          <w:b/>
          <w:sz w:val="22"/>
        </w:rPr>
        <w:t>Probe-conjugated antibody</w:t>
      </w:r>
    </w:p>
    <w:p w14:paraId="1E3E28F2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-CD34+APC(RAM34)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rat (m)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eBioscience</w:t>
      </w:r>
      <w:proofErr w:type="spellEnd"/>
    </w:p>
    <w:p w14:paraId="51B58515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-Sca-1/Ly-6A/E+PE-Cy7(D7)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rat (m)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eBioscience</w:t>
      </w:r>
      <w:proofErr w:type="spellEnd"/>
    </w:p>
    <w:p w14:paraId="3BBF672C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-c-Kit</w:t>
      </w:r>
    </w:p>
    <w:p w14:paraId="38E5D615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 xml:space="preserve">   /CD117+APC-</w:t>
      </w:r>
      <w:proofErr w:type="gramStart"/>
      <w:r>
        <w:rPr>
          <w:rFonts w:ascii="Courier" w:hAnsi="Courier"/>
          <w:sz w:val="22"/>
        </w:rPr>
        <w:t>eFluor780(</w:t>
      </w:r>
      <w:proofErr w:type="gramEnd"/>
      <w:r>
        <w:rPr>
          <w:rFonts w:ascii="Courier" w:hAnsi="Courier"/>
          <w:sz w:val="22"/>
        </w:rPr>
        <w:t>2B8)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rat (m)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eBioscience</w:t>
      </w:r>
      <w:proofErr w:type="spellEnd"/>
    </w:p>
    <w:p w14:paraId="6452A7F6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-B220/CD45R+Biotin(RA3-6B2)&amp;</w:t>
      </w:r>
      <w:r>
        <w:rPr>
          <w:rFonts w:ascii="Courier" w:hAnsi="Courier"/>
          <w:sz w:val="22"/>
        </w:rPr>
        <w:tab/>
        <w:t>rat (m)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eBioscience</w:t>
      </w:r>
      <w:proofErr w:type="spellEnd"/>
    </w:p>
    <w:p w14:paraId="52027B62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-CD3</w:t>
      </w:r>
      <w:r w:rsidRPr="007C010F">
        <w:rPr>
          <w:rFonts w:ascii="Symbol" w:hAnsi="Symbol"/>
          <w:sz w:val="22"/>
        </w:rPr>
        <w:t></w:t>
      </w:r>
      <w:r>
        <w:rPr>
          <w:rFonts w:ascii="Courier" w:hAnsi="Courier"/>
          <w:sz w:val="22"/>
        </w:rPr>
        <w:t>+Biotin (145-2C11)&amp;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hamster (m)</w:t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eBioscience</w:t>
      </w:r>
      <w:proofErr w:type="spellEnd"/>
    </w:p>
    <w:p w14:paraId="44443179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-Gr-1/Ly-6G+Biotin(RB6-8C5)&amp;</w:t>
      </w:r>
      <w:r>
        <w:rPr>
          <w:rFonts w:ascii="Courier" w:hAnsi="Courier"/>
          <w:sz w:val="22"/>
        </w:rPr>
        <w:tab/>
        <w:t>rat (m)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eBioscience</w:t>
      </w:r>
      <w:proofErr w:type="spellEnd"/>
    </w:p>
    <w:p w14:paraId="072AC4C1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-Mac-1</w:t>
      </w:r>
      <w:r w:rsidRPr="007C010F">
        <w:rPr>
          <w:rFonts w:ascii="Symbol" w:hAnsi="Symbol"/>
          <w:sz w:val="22"/>
        </w:rPr>
        <w:t></w:t>
      </w:r>
      <w:r>
        <w:rPr>
          <w:rFonts w:ascii="Courier" w:hAnsi="Courier"/>
          <w:sz w:val="22"/>
        </w:rPr>
        <w:t>/CD11b+Biotin(M1/70)&amp;</w:t>
      </w:r>
      <w:r>
        <w:rPr>
          <w:rFonts w:ascii="Courier" w:hAnsi="Courier"/>
          <w:sz w:val="22"/>
        </w:rPr>
        <w:tab/>
        <w:t>rat (m)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eBioscience</w:t>
      </w:r>
      <w:proofErr w:type="spellEnd"/>
    </w:p>
    <w:p w14:paraId="0ECAD2C5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-TER-119+Biotin(TER-119)&amp;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rat (m)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eBioscience</w:t>
      </w:r>
      <w:proofErr w:type="spellEnd"/>
    </w:p>
    <w:p w14:paraId="16047AF4" w14:textId="77777777" w:rsidR="00976076" w:rsidRDefault="00976076" w:rsidP="00976076">
      <w:pPr>
        <w:snapToGrid w:val="0"/>
        <w:rPr>
          <w:rFonts w:ascii="Courier" w:hAnsi="Courier"/>
          <w:sz w:val="22"/>
        </w:rPr>
      </w:pPr>
    </w:p>
    <w:p w14:paraId="44ED9CA3" w14:textId="77777777" w:rsidR="00976076" w:rsidRDefault="00976076" w:rsidP="00976076">
      <w:pPr>
        <w:snapToGrid w:val="0"/>
        <w:rPr>
          <w:rFonts w:ascii="Courier" w:hAnsi="Courier"/>
          <w:b/>
          <w:sz w:val="22"/>
        </w:rPr>
      </w:pPr>
      <w:r>
        <w:rPr>
          <w:rFonts w:ascii="Courier" w:hAnsi="Courier"/>
          <w:b/>
          <w:sz w:val="22"/>
        </w:rPr>
        <w:t>Primary antibody</w:t>
      </w:r>
    </w:p>
    <w:p w14:paraId="6A9EE351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-Flag(ANTI-FLAG M2)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mouse (m)</w:t>
      </w:r>
      <w:r>
        <w:rPr>
          <w:rFonts w:ascii="Courier" w:hAnsi="Courier"/>
          <w:sz w:val="22"/>
        </w:rPr>
        <w:tab/>
        <w:t>Sigma</w:t>
      </w:r>
    </w:p>
    <w:p w14:paraId="6C838CEA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</w:t>
      </w:r>
      <w:proofErr w:type="spellStart"/>
      <w:r>
        <w:rPr>
          <w:rFonts w:ascii="Courier" w:hAnsi="Courier"/>
          <w:sz w:val="22"/>
        </w:rPr>
        <w:t>myc</w:t>
      </w:r>
      <w:proofErr w:type="spellEnd"/>
      <w:r>
        <w:rPr>
          <w:rFonts w:ascii="Courier" w:hAnsi="Courier"/>
          <w:sz w:val="22"/>
        </w:rPr>
        <w:t>(A14)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rabbit (p)</w:t>
      </w:r>
      <w:r>
        <w:rPr>
          <w:rFonts w:ascii="Courier" w:hAnsi="Courier"/>
          <w:sz w:val="22"/>
        </w:rPr>
        <w:tab/>
        <w:t>Santa Cruz</w:t>
      </w:r>
    </w:p>
    <w:p w14:paraId="0DC1DBD5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</w:t>
      </w:r>
      <w:proofErr w:type="spellStart"/>
      <w:r>
        <w:rPr>
          <w:rFonts w:ascii="Courier" w:hAnsi="Courier"/>
          <w:sz w:val="22"/>
        </w:rPr>
        <w:t>myc</w:t>
      </w:r>
      <w:proofErr w:type="spellEnd"/>
      <w:r>
        <w:rPr>
          <w:rFonts w:ascii="Courier" w:hAnsi="Courier"/>
          <w:sz w:val="22"/>
        </w:rPr>
        <w:t>(9E10)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mouse (m)</w:t>
      </w:r>
      <w:r>
        <w:rPr>
          <w:rFonts w:ascii="Courier" w:hAnsi="Courier"/>
          <w:sz w:val="22"/>
        </w:rPr>
        <w:tab/>
        <w:t>Santa Cruz</w:t>
      </w:r>
    </w:p>
    <w:p w14:paraId="611B205E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-HA(12CA5)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mouse (m)       Roche</w:t>
      </w:r>
    </w:p>
    <w:p w14:paraId="68B59382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-Geminin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rabbit (p)</w:t>
      </w:r>
      <w:r>
        <w:rPr>
          <w:rFonts w:ascii="Courier" w:hAnsi="Courier"/>
          <w:sz w:val="22"/>
        </w:rPr>
        <w:tab/>
        <w:t>#</w:t>
      </w:r>
    </w:p>
    <w:p w14:paraId="18E8C882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-Roc1(34-2500)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rabbit (p)</w:t>
      </w:r>
      <w:r>
        <w:rPr>
          <w:rFonts w:ascii="Courier" w:hAnsi="Courier"/>
          <w:sz w:val="22"/>
        </w:rPr>
        <w:tab/>
        <w:t>Life Tech.</w:t>
      </w:r>
    </w:p>
    <w:p w14:paraId="3560D461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-Ddb1(H-300)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rabbit (p)</w:t>
      </w:r>
      <w:r>
        <w:rPr>
          <w:rFonts w:ascii="Courier" w:hAnsi="Courier"/>
          <w:sz w:val="22"/>
        </w:rPr>
        <w:tab/>
        <w:t>Santa Cruz</w:t>
      </w:r>
    </w:p>
    <w:p w14:paraId="5EC06D12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 xml:space="preserve">-Cul4a(A300-739A) 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rabbit (p)</w:t>
      </w:r>
      <w:r>
        <w:rPr>
          <w:rFonts w:ascii="Courier" w:hAnsi="Courier"/>
          <w:sz w:val="22"/>
        </w:rPr>
        <w:tab/>
      </w:r>
      <w:proofErr w:type="spellStart"/>
      <w:r>
        <w:rPr>
          <w:rFonts w:ascii="Courier" w:hAnsi="Courier"/>
          <w:sz w:val="22"/>
        </w:rPr>
        <w:t>Bethyl</w:t>
      </w:r>
      <w:proofErr w:type="spellEnd"/>
      <w:r>
        <w:rPr>
          <w:rFonts w:ascii="Courier" w:hAnsi="Courier"/>
          <w:sz w:val="22"/>
        </w:rPr>
        <w:t xml:space="preserve"> </w:t>
      </w:r>
    </w:p>
    <w:p w14:paraId="17253198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-Hoxa9(sc-17155)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 xml:space="preserve">goat (p) </w:t>
      </w:r>
      <w:r>
        <w:rPr>
          <w:rFonts w:ascii="Courier" w:hAnsi="Courier"/>
          <w:sz w:val="22"/>
        </w:rPr>
        <w:tab/>
        <w:t>Santa Cruz</w:t>
      </w:r>
    </w:p>
    <w:p w14:paraId="08EC56D5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</w:t>
      </w:r>
      <w:proofErr w:type="spellStart"/>
      <w:r>
        <w:rPr>
          <w:rFonts w:ascii="Courier" w:hAnsi="Courier"/>
          <w:sz w:val="22"/>
        </w:rPr>
        <w:t>Gapdh</w:t>
      </w:r>
      <w:proofErr w:type="spellEnd"/>
      <w:r>
        <w:rPr>
          <w:rFonts w:ascii="Courier" w:hAnsi="Courier"/>
          <w:sz w:val="22"/>
        </w:rPr>
        <w:t xml:space="preserve">(GAPDH-71.1) 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mouse (m)</w:t>
      </w:r>
      <w:r>
        <w:rPr>
          <w:rFonts w:ascii="Courier" w:hAnsi="Courier"/>
          <w:sz w:val="22"/>
        </w:rPr>
        <w:tab/>
        <w:t>Sigma</w:t>
      </w:r>
    </w:p>
    <w:p w14:paraId="6DCBEF36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>-</w:t>
      </w:r>
      <w:r w:rsidRPr="007C010F">
        <w:rPr>
          <w:rFonts w:ascii="Symbol" w:hAnsi="Symbol"/>
          <w:sz w:val="22"/>
        </w:rPr>
        <w:t></w:t>
      </w:r>
      <w:r>
        <w:rPr>
          <w:rFonts w:ascii="Courier" w:hAnsi="Courier"/>
          <w:sz w:val="22"/>
        </w:rPr>
        <w:t>-actin(AC-74)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mouse (m)</w:t>
      </w:r>
      <w:r>
        <w:rPr>
          <w:rFonts w:ascii="Courier" w:hAnsi="Courier"/>
          <w:sz w:val="22"/>
        </w:rPr>
        <w:tab/>
        <w:t>Sigma</w:t>
      </w:r>
    </w:p>
    <w:p w14:paraId="43A4CF8C" w14:textId="77777777" w:rsidR="00976076" w:rsidRDefault="00976076" w:rsidP="00976076">
      <w:pPr>
        <w:snapToGrid w:val="0"/>
        <w:rPr>
          <w:rFonts w:ascii="Courier" w:hAnsi="Courier"/>
          <w:sz w:val="22"/>
        </w:rPr>
      </w:pPr>
    </w:p>
    <w:p w14:paraId="24BAFB1D" w14:textId="77777777" w:rsidR="00976076" w:rsidRDefault="00976076" w:rsidP="00976076">
      <w:pPr>
        <w:snapToGrid w:val="0"/>
        <w:rPr>
          <w:rFonts w:ascii="Courier" w:hAnsi="Courier"/>
          <w:b/>
          <w:sz w:val="22"/>
        </w:rPr>
      </w:pPr>
      <w:r>
        <w:rPr>
          <w:rFonts w:ascii="Courier" w:hAnsi="Courier"/>
          <w:b/>
          <w:sz w:val="22"/>
        </w:rPr>
        <w:t>Secondary antibody**</w:t>
      </w:r>
    </w:p>
    <w:p w14:paraId="3440456D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 xml:space="preserve">-rabbit </w:t>
      </w:r>
      <w:proofErr w:type="spellStart"/>
      <w:r>
        <w:rPr>
          <w:rFonts w:ascii="Courier" w:hAnsi="Courier"/>
          <w:sz w:val="22"/>
        </w:rPr>
        <w:t>IgG+PE</w:t>
      </w:r>
      <w:proofErr w:type="spellEnd"/>
      <w:r>
        <w:rPr>
          <w:rFonts w:ascii="Courier" w:hAnsi="Courier"/>
          <w:sz w:val="22"/>
        </w:rPr>
        <w:t>(611-108-122)</w:t>
      </w:r>
      <w:r>
        <w:rPr>
          <w:rFonts w:ascii="Courier" w:hAnsi="Courier"/>
          <w:sz w:val="22"/>
        </w:rPr>
        <w:tab/>
        <w:t>goat (p)</w:t>
      </w:r>
      <w:r>
        <w:rPr>
          <w:rFonts w:ascii="Courier" w:hAnsi="Courier"/>
          <w:sz w:val="22"/>
        </w:rPr>
        <w:tab/>
        <w:t>Rockland</w:t>
      </w:r>
    </w:p>
    <w:p w14:paraId="20B441CA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 xml:space="preserve">-rabbit </w:t>
      </w:r>
      <w:proofErr w:type="spellStart"/>
      <w:r>
        <w:rPr>
          <w:rFonts w:ascii="Courier" w:hAnsi="Courier"/>
          <w:sz w:val="22"/>
        </w:rPr>
        <w:t>IgG+HRP</w:t>
      </w:r>
      <w:proofErr w:type="spellEnd"/>
      <w:r>
        <w:rPr>
          <w:rFonts w:ascii="Courier" w:hAnsi="Courier"/>
          <w:sz w:val="22"/>
        </w:rPr>
        <w:t>(1858415)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goat (p)</w:t>
      </w:r>
      <w:r>
        <w:rPr>
          <w:rFonts w:ascii="Courier" w:hAnsi="Courier"/>
          <w:sz w:val="22"/>
        </w:rPr>
        <w:tab/>
        <w:t>Thermo</w:t>
      </w:r>
    </w:p>
    <w:p w14:paraId="3E4C9808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 xml:space="preserve">-mouse </w:t>
      </w:r>
      <w:proofErr w:type="spellStart"/>
      <w:r>
        <w:rPr>
          <w:rFonts w:ascii="Courier" w:hAnsi="Courier"/>
          <w:sz w:val="22"/>
        </w:rPr>
        <w:t>IgG+HRP</w:t>
      </w:r>
      <w:proofErr w:type="spellEnd"/>
      <w:r>
        <w:rPr>
          <w:rFonts w:ascii="Courier" w:hAnsi="Courier"/>
          <w:sz w:val="22"/>
        </w:rPr>
        <w:t>(1858413)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goat (p)</w:t>
      </w:r>
      <w:r>
        <w:rPr>
          <w:rFonts w:ascii="Courier" w:hAnsi="Courier"/>
          <w:sz w:val="22"/>
        </w:rPr>
        <w:tab/>
        <w:t>Thermo</w:t>
      </w:r>
    </w:p>
    <w:p w14:paraId="1B7146D9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proofErr w:type="gramStart"/>
      <w:r>
        <w:rPr>
          <w:rFonts w:ascii="Courier" w:hAnsi="Courier"/>
          <w:sz w:val="22"/>
        </w:rPr>
        <w:t>anti</w:t>
      </w:r>
      <w:proofErr w:type="gramEnd"/>
      <w:r>
        <w:rPr>
          <w:rFonts w:ascii="Courier" w:hAnsi="Courier"/>
          <w:sz w:val="22"/>
        </w:rPr>
        <w:t xml:space="preserve">-goat </w:t>
      </w:r>
      <w:proofErr w:type="spellStart"/>
      <w:r>
        <w:rPr>
          <w:rFonts w:ascii="Courier" w:hAnsi="Courier"/>
          <w:sz w:val="22"/>
        </w:rPr>
        <w:t>IgG+HRP</w:t>
      </w:r>
      <w:proofErr w:type="spellEnd"/>
      <w:r>
        <w:rPr>
          <w:rFonts w:ascii="Courier" w:hAnsi="Courier"/>
          <w:sz w:val="22"/>
        </w:rPr>
        <w:t>(sc-2020)</w:t>
      </w:r>
      <w:r>
        <w:rPr>
          <w:rFonts w:ascii="Courier" w:hAnsi="Courier"/>
          <w:sz w:val="22"/>
        </w:rPr>
        <w:tab/>
      </w:r>
      <w:r>
        <w:rPr>
          <w:rFonts w:ascii="Courier" w:hAnsi="Courier"/>
          <w:sz w:val="22"/>
        </w:rPr>
        <w:tab/>
        <w:t>donkey (P)</w:t>
      </w:r>
      <w:r>
        <w:rPr>
          <w:rFonts w:ascii="Courier" w:hAnsi="Courier"/>
          <w:sz w:val="22"/>
        </w:rPr>
        <w:tab/>
        <w:t>Santa Cruz</w:t>
      </w:r>
    </w:p>
    <w:p w14:paraId="63B7A170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r>
        <w:rPr>
          <w:rFonts w:ascii="Courier" w:hAnsi="Courie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6833E" wp14:editId="4525CA46">
                <wp:simplePos x="0" y="0"/>
                <wp:positionH relativeFrom="column">
                  <wp:posOffset>-25400</wp:posOffset>
                </wp:positionH>
                <wp:positionV relativeFrom="paragraph">
                  <wp:posOffset>81280</wp:posOffset>
                </wp:positionV>
                <wp:extent cx="5372100" cy="0"/>
                <wp:effectExtent l="25400" t="30480" r="3810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4pt" to="421.0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HMKx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" strokeweight="1.5pt"/>
            </w:pict>
          </mc:Fallback>
        </mc:AlternateContent>
      </w:r>
    </w:p>
    <w:p w14:paraId="16B91EC8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r>
        <w:rPr>
          <w:rFonts w:ascii="Courier" w:hAnsi="Courier"/>
          <w:b/>
          <w:sz w:val="22"/>
        </w:rPr>
        <w:t xml:space="preserve">* </w:t>
      </w:r>
      <w:r>
        <w:rPr>
          <w:rFonts w:ascii="Courier" w:hAnsi="Courier"/>
          <w:sz w:val="22"/>
        </w:rPr>
        <w:t xml:space="preserve">Monoclonal or polyclonal antibody is indicated by m or p, respectively.  </w:t>
      </w:r>
    </w:p>
    <w:p w14:paraId="56DE9102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># Polyclonal antibodies raised</w:t>
      </w:r>
      <w:r>
        <w:rPr>
          <w:rFonts w:ascii="Courier" w:hAnsi="Courier" w:hint="eastAsia"/>
          <w:sz w:val="22"/>
        </w:rPr>
        <w:t xml:space="preserve"> against </w:t>
      </w:r>
      <w:r>
        <w:rPr>
          <w:rFonts w:ascii="Courier" w:hAnsi="Courier"/>
          <w:sz w:val="22"/>
        </w:rPr>
        <w:t xml:space="preserve">the </w:t>
      </w:r>
      <w:r>
        <w:rPr>
          <w:rFonts w:ascii="Courier" w:hAnsi="Courier" w:hint="eastAsia"/>
          <w:sz w:val="22"/>
        </w:rPr>
        <w:t>GST-fusion</w:t>
      </w:r>
      <w:r>
        <w:rPr>
          <w:rFonts w:ascii="Courier" w:hAnsi="Courier"/>
          <w:sz w:val="22"/>
        </w:rPr>
        <w:t xml:space="preserve"> recombinant molecules</w:t>
      </w:r>
      <w:r w:rsidRPr="00956625">
        <w:rPr>
          <w:rFonts w:ascii="Courier" w:hAnsi="Courier"/>
          <w:sz w:val="22"/>
        </w:rPr>
        <w:t xml:space="preserve"> </w:t>
      </w:r>
      <w:r w:rsidRPr="00956625">
        <w:rPr>
          <w:rFonts w:ascii="Courier" w:hAnsi="Courier"/>
        </w:rPr>
        <w:fldChar w:fldCharType="begin"/>
      </w:r>
      <w:r w:rsidRPr="00956625">
        <w:rPr>
          <w:rFonts w:ascii="Courier" w:hAnsi="Courier"/>
        </w:rPr>
        <w:instrText xml:space="preserve"> ADDIN EN.CITE &lt;EndNote&gt;&lt;Cite&gt;&lt;Author&gt;Ohtsubo M&lt;/Author&gt;&lt;Year&gt;2008&lt;/Year&gt;&lt;RecNum&gt;13&lt;/RecNum&gt;&lt;DisplayText&gt;[21]&lt;/DisplayText&gt;&lt;record&gt;&lt;rec-number&gt;13&lt;/rec-number&gt;&lt;foreign-keys&gt;&lt;key app="EN" db-id="ee9fvvffcfw50derserx2v0gtsfsefxewzx0"&gt;13&lt;/key&gt;&lt;/foreign-keys&gt;&lt;ref-type name="Journal Article"&gt;17&lt;/ref-type&gt;&lt;contributors&gt;&lt;authors&gt;&lt;author&gt;Ohtsubo M, &lt;/author&gt;&lt;author&gt;Yasunaga S, &lt;/author&gt;&lt;author&gt;Ohno Y, &lt;/author&gt;&lt;author&gt;Tsumura M, &lt;/author&gt;&lt;author&gt;Okada S, &lt;/author&gt;&lt;author&gt;Ishikawa N, &lt;/author&gt;&lt;author&gt;Shirao K, &lt;/author&gt;&lt;author&gt;Kikuchi A, &lt;/author&gt;&lt;author&gt;Nishitani H, &lt;/author&gt;&lt;author&gt;Kobayashi M, &lt;/author&gt;&lt;author&gt;Takihara Y.&lt;/author&gt;&lt;/authors&gt;&lt;/contributors&gt;&lt;titles&gt;&lt;title&gt;Polycomb-group complex 1 acts as an E3 ubiquitin ligase for Geminin to sustain hematopoietic stem cell activity.&lt;/title&gt;&lt;secondary-title&gt;Proc Natl Acad Sci U S A. &lt;/secondary-title&gt;&lt;/titles&gt;&lt;pages&gt;10396-10401&lt;/pages&gt;&lt;volume&gt;105&lt;/volume&gt;&lt;number&gt;30&lt;/number&gt;&lt;dates&gt;&lt;year&gt;2008&lt;/year&gt;&lt;/dates&gt;&lt;urls&gt;&lt;/urls&gt;&lt;/record&gt;&lt;/Cite&gt;&lt;/EndNote&gt;</w:instrText>
      </w:r>
      <w:r w:rsidRPr="00956625">
        <w:rPr>
          <w:rFonts w:ascii="Courier" w:hAnsi="Courier"/>
        </w:rPr>
        <w:fldChar w:fldCharType="separate"/>
      </w:r>
      <w:r w:rsidRPr="00956625">
        <w:rPr>
          <w:rFonts w:ascii="Courier" w:hAnsi="Courier"/>
          <w:noProof/>
        </w:rPr>
        <w:t>[</w:t>
      </w:r>
      <w:hyperlink w:anchor="_ENREF_21" w:tooltip="Ohtsubo M, 2008 #13" w:history="1">
        <w:r w:rsidRPr="00956625">
          <w:rPr>
            <w:rFonts w:ascii="Courier" w:hAnsi="Courier"/>
            <w:noProof/>
          </w:rPr>
          <w:t>21</w:t>
        </w:r>
      </w:hyperlink>
      <w:r w:rsidRPr="00956625">
        <w:rPr>
          <w:rFonts w:ascii="Courier" w:hAnsi="Courier"/>
          <w:noProof/>
        </w:rPr>
        <w:t>]</w:t>
      </w:r>
      <w:r w:rsidRPr="00956625">
        <w:rPr>
          <w:rFonts w:ascii="Courier" w:hAnsi="Courier"/>
        </w:rPr>
        <w:fldChar w:fldCharType="end"/>
      </w:r>
      <w:r>
        <w:rPr>
          <w:rFonts w:ascii="Courier" w:hAnsi="Courier"/>
          <w:sz w:val="22"/>
        </w:rPr>
        <w:t>.</w:t>
      </w:r>
    </w:p>
    <w:p w14:paraId="336DD5F7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>** Secondary antibodies conjugated with labels.</w:t>
      </w:r>
    </w:p>
    <w:p w14:paraId="17B62F36" w14:textId="77777777" w:rsidR="00976076" w:rsidRDefault="00976076" w:rsidP="00976076">
      <w:pPr>
        <w:snapToGrid w:val="0"/>
        <w:rPr>
          <w:rFonts w:ascii="Courier" w:hAnsi="Courier"/>
          <w:b/>
          <w:sz w:val="22"/>
        </w:rPr>
      </w:pPr>
      <w:r>
        <w:rPr>
          <w:rFonts w:ascii="Courier" w:hAnsi="Courier"/>
          <w:sz w:val="22"/>
        </w:rPr>
        <w:t xml:space="preserve">&amp; </w:t>
      </w:r>
      <w:proofErr w:type="gramStart"/>
      <w:r>
        <w:rPr>
          <w:rFonts w:ascii="Courier" w:hAnsi="Courier"/>
          <w:sz w:val="22"/>
        </w:rPr>
        <w:t>Lin</w:t>
      </w:r>
      <w:r w:rsidRPr="0045469B">
        <w:rPr>
          <w:rFonts w:ascii="Courier" w:hAnsi="Courier"/>
          <w:sz w:val="22"/>
          <w:vertAlign w:val="superscript"/>
        </w:rPr>
        <w:t>-</w:t>
      </w:r>
      <w:r>
        <w:rPr>
          <w:rFonts w:ascii="Courier" w:hAnsi="Courier"/>
          <w:sz w:val="22"/>
        </w:rPr>
        <w:t xml:space="preserve"> cells were purified by using the above-listed biotin-conjugated antibodies with Streptavidin+PerCP-Cy5.5 (BD)</w:t>
      </w:r>
      <w:proofErr w:type="gramEnd"/>
      <w:r>
        <w:rPr>
          <w:rFonts w:ascii="Courier" w:hAnsi="Courier"/>
          <w:sz w:val="22"/>
        </w:rPr>
        <w:t>.</w:t>
      </w:r>
    </w:p>
    <w:p w14:paraId="433DF339" w14:textId="77777777" w:rsidR="00976076" w:rsidRDefault="00976076" w:rsidP="00976076">
      <w:pPr>
        <w:snapToGrid w:val="0"/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 xml:space="preserve">Life Tech., Life Technologies; Thermo, </w:t>
      </w:r>
      <w:proofErr w:type="spellStart"/>
      <w:r>
        <w:rPr>
          <w:rFonts w:ascii="Courier" w:hAnsi="Courier"/>
          <w:sz w:val="22"/>
        </w:rPr>
        <w:t>ThermoFisher</w:t>
      </w:r>
      <w:proofErr w:type="spellEnd"/>
      <w:r>
        <w:rPr>
          <w:rFonts w:ascii="Courier" w:hAnsi="Courier"/>
          <w:sz w:val="22"/>
        </w:rPr>
        <w:t xml:space="preserve"> Scientific;</w:t>
      </w:r>
    </w:p>
    <w:p w14:paraId="3AA8ABEC" w14:textId="77777777" w:rsidR="00976076" w:rsidRPr="00AC06DB" w:rsidRDefault="005F5B9D" w:rsidP="00976076">
      <w:pPr>
        <w:snapToGrid w:val="0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Sigma, Sigma-</w:t>
      </w:r>
      <w:bookmarkStart w:id="0" w:name="_GoBack"/>
      <w:bookmarkEnd w:id="0"/>
      <w:r w:rsidR="00976076" w:rsidRPr="00AC06DB">
        <w:rPr>
          <w:rFonts w:ascii="Courier" w:hAnsi="Courier"/>
          <w:sz w:val="22"/>
          <w:szCs w:val="22"/>
        </w:rPr>
        <w:t>Aldrich</w:t>
      </w:r>
      <w:r w:rsidR="00976076">
        <w:rPr>
          <w:rFonts w:ascii="Courier" w:hAnsi="Courier"/>
          <w:sz w:val="22"/>
          <w:szCs w:val="22"/>
        </w:rPr>
        <w:t>; Roche</w:t>
      </w:r>
      <w:r w:rsidR="00976076" w:rsidRPr="00C378E1">
        <w:rPr>
          <w:rFonts w:ascii="Courier" w:hAnsi="Courier"/>
          <w:sz w:val="22"/>
          <w:szCs w:val="22"/>
        </w:rPr>
        <w:t xml:space="preserve">, Roche Diagnostics </w:t>
      </w:r>
      <w:proofErr w:type="spellStart"/>
      <w:r w:rsidR="00976076" w:rsidRPr="00C378E1">
        <w:rPr>
          <w:rFonts w:ascii="Courier" w:hAnsi="Courier"/>
          <w:sz w:val="22"/>
          <w:szCs w:val="22"/>
        </w:rPr>
        <w:t>Gmbh</w:t>
      </w:r>
      <w:proofErr w:type="spellEnd"/>
    </w:p>
    <w:p w14:paraId="73D84AE2" w14:textId="77777777" w:rsidR="00976076" w:rsidRDefault="00976076" w:rsidP="00976076"/>
    <w:p w14:paraId="4BBDAB40" w14:textId="77777777" w:rsidR="001601E8" w:rsidRDefault="001601E8"/>
    <w:sectPr w:rsidR="001601E8" w:rsidSect="001601E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6"/>
    <w:rsid w:val="001601E8"/>
    <w:rsid w:val="005F5B9D"/>
    <w:rsid w:val="009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D6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6"/>
    <w:pPr>
      <w:overflowPunct w:val="0"/>
      <w:autoSpaceDE w:val="0"/>
      <w:autoSpaceDN w:val="0"/>
      <w:adjustRightInd w:val="0"/>
      <w:textAlignment w:val="baseline"/>
    </w:pPr>
    <w:rPr>
      <w:rFonts w:ascii="Times" w:eastAsia="平成明朝" w:hAnsi="Times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6"/>
    <w:pPr>
      <w:overflowPunct w:val="0"/>
      <w:autoSpaceDE w:val="0"/>
      <w:autoSpaceDN w:val="0"/>
      <w:adjustRightInd w:val="0"/>
      <w:textAlignment w:val="baseline"/>
    </w:pPr>
    <w:rPr>
      <w:rFonts w:ascii="Times" w:eastAsia="平成明朝" w:hAnsi="Times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2325</Characters>
  <Application>Microsoft Macintosh Word</Application>
  <DocSecurity>0</DocSecurity>
  <Lines>47</Lines>
  <Paragraphs>6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放射線 ゲノム</dc:creator>
  <cp:keywords/>
  <dc:description/>
  <cp:lastModifiedBy>放射線 ゲノム</cp:lastModifiedBy>
  <cp:revision>2</cp:revision>
  <dcterms:created xsi:type="dcterms:W3CDTF">2012-09-28T10:27:00Z</dcterms:created>
  <dcterms:modified xsi:type="dcterms:W3CDTF">2012-09-29T01:33:00Z</dcterms:modified>
</cp:coreProperties>
</file>