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A" w:rsidRPr="006A2F22" w:rsidRDefault="000120BA" w:rsidP="000120BA">
      <w:pPr>
        <w:jc w:val="center"/>
      </w:pPr>
      <w:r>
        <w:t>Supplemental Table S2</w:t>
      </w:r>
      <w:r w:rsidRPr="006A2F22">
        <w:t xml:space="preserve"> for</w:t>
      </w:r>
    </w:p>
    <w:p w:rsidR="000120BA" w:rsidRDefault="000120BA" w:rsidP="000120BA">
      <w:pPr>
        <w:bidi w:val="0"/>
        <w:spacing w:line="240" w:lineRule="auto"/>
        <w:ind w:right="-26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Model-Based Systems Biology: </w:t>
      </w:r>
    </w:p>
    <w:p w:rsidR="000120BA" w:rsidRPr="00EF6780" w:rsidRDefault="000120BA" w:rsidP="000120BA">
      <w:pPr>
        <w:bidi w:val="0"/>
        <w:spacing w:line="240" w:lineRule="auto"/>
        <w:ind w:right="-26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Mapping Knowledge and Discovering Gaps in the </w:t>
      </w:r>
      <w:r w:rsidRPr="00DC6638">
        <w:rPr>
          <w:sz w:val="40"/>
          <w:szCs w:val="40"/>
        </w:rPr>
        <w:t>mRNA</w:t>
      </w:r>
      <w:r>
        <w:rPr>
          <w:sz w:val="40"/>
          <w:szCs w:val="40"/>
        </w:rPr>
        <w:t xml:space="preserve"> Transcription Cycle</w:t>
      </w:r>
    </w:p>
    <w:p w:rsidR="000120BA" w:rsidRPr="00E95C52" w:rsidRDefault="000120BA" w:rsidP="000120BA">
      <w:pPr>
        <w:pStyle w:val="Title"/>
        <w:spacing w:before="0" w:line="360" w:lineRule="auto"/>
        <w:rPr>
          <w:lang w:val="en-US"/>
        </w:rPr>
      </w:pPr>
      <w:r w:rsidRPr="00060C57">
        <w:t xml:space="preserve">Judith </w:t>
      </w:r>
      <w:proofErr w:type="spellStart"/>
      <w:r w:rsidRPr="00060C57">
        <w:t>Somekh</w:t>
      </w:r>
      <w:r w:rsidRPr="00060C57">
        <w:rPr>
          <w:vertAlign w:val="superscript"/>
        </w:rPr>
        <w:t>a</w:t>
      </w:r>
      <w:proofErr w:type="spellEnd"/>
      <w:r>
        <w:rPr>
          <w:vertAlign w:val="superscript"/>
          <w:lang w:val="en-US"/>
        </w:rPr>
        <w:t>*</w:t>
      </w:r>
      <w:r w:rsidRPr="00060C57">
        <w:t xml:space="preserve">, </w:t>
      </w:r>
      <w:proofErr w:type="spellStart"/>
      <w:r>
        <w:t>Mordechai</w:t>
      </w:r>
      <w:proofErr w:type="spellEnd"/>
      <w:r>
        <w:t xml:space="preserve"> </w:t>
      </w:r>
      <w:proofErr w:type="spellStart"/>
      <w:r>
        <w:t>Choder</w:t>
      </w:r>
      <w:r>
        <w:rPr>
          <w:vertAlign w:val="superscript"/>
          <w:lang w:val="en-US"/>
        </w:rPr>
        <w:t>c</w:t>
      </w:r>
      <w:proofErr w:type="spellEnd"/>
      <w:r>
        <w:rPr>
          <w:lang w:val="en-US"/>
        </w:rPr>
        <w:t xml:space="preserve">, </w:t>
      </w:r>
      <w:r>
        <w:t xml:space="preserve">and </w:t>
      </w:r>
      <w:proofErr w:type="spellStart"/>
      <w:r>
        <w:t>Dov</w:t>
      </w:r>
      <w:proofErr w:type="spellEnd"/>
      <w:r>
        <w:t xml:space="preserve"> </w:t>
      </w:r>
      <w:proofErr w:type="spellStart"/>
      <w:r>
        <w:t>Dori</w:t>
      </w:r>
      <w:r w:rsidRPr="00060C57">
        <w:rPr>
          <w:vertAlign w:val="superscript"/>
        </w:rPr>
        <w:t>a</w:t>
      </w:r>
      <w:proofErr w:type="spellEnd"/>
      <w:r>
        <w:rPr>
          <w:vertAlign w:val="superscript"/>
          <w:lang w:val="en-US"/>
        </w:rPr>
        <w:t>, b</w:t>
      </w:r>
    </w:p>
    <w:p w:rsidR="000120BA" w:rsidRDefault="000120BA" w:rsidP="000120BA">
      <w:pPr>
        <w:pStyle w:val="Addresses"/>
        <w:spacing w:line="360" w:lineRule="auto"/>
        <w:rPr>
          <w:sz w:val="22"/>
          <w:szCs w:val="22"/>
        </w:rPr>
      </w:pPr>
      <w:proofErr w:type="spellStart"/>
      <w:proofErr w:type="gramStart"/>
      <w:r w:rsidRPr="00060C57">
        <w:rPr>
          <w:sz w:val="22"/>
          <w:szCs w:val="22"/>
          <w:vertAlign w:val="superscript"/>
        </w:rPr>
        <w:t>a</w:t>
      </w:r>
      <w:r w:rsidRPr="00060C57">
        <w:rPr>
          <w:sz w:val="22"/>
          <w:szCs w:val="22"/>
        </w:rPr>
        <w:t>Faculty</w:t>
      </w:r>
      <w:proofErr w:type="spellEnd"/>
      <w:proofErr w:type="gramEnd"/>
      <w:r w:rsidRPr="00060C57">
        <w:rPr>
          <w:sz w:val="22"/>
          <w:szCs w:val="22"/>
        </w:rPr>
        <w:t xml:space="preserve"> of Industrial Engineering and Management, </w:t>
      </w:r>
      <w:proofErr w:type="spellStart"/>
      <w:r w:rsidRPr="00060C57">
        <w:rPr>
          <w:sz w:val="22"/>
          <w:szCs w:val="22"/>
        </w:rPr>
        <w:t>Technion</w:t>
      </w:r>
      <w:proofErr w:type="spellEnd"/>
      <w:r w:rsidRPr="00060C57">
        <w:rPr>
          <w:sz w:val="22"/>
          <w:szCs w:val="22"/>
        </w:rPr>
        <w:t>, Israel Institute of Technology, Haifa 32000, Israel</w:t>
      </w:r>
    </w:p>
    <w:p w:rsidR="000120BA" w:rsidRPr="00060C57" w:rsidRDefault="000120BA" w:rsidP="000120BA">
      <w:pPr>
        <w:pStyle w:val="Addresses"/>
        <w:spacing w:line="360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>Engineering</w:t>
      </w:r>
      <w:proofErr w:type="spellEnd"/>
      <w:proofErr w:type="gramEnd"/>
      <w:r>
        <w:rPr>
          <w:sz w:val="22"/>
          <w:szCs w:val="22"/>
        </w:rPr>
        <w:t xml:space="preserve"> Systems Division,  Massachusetts Institute of Technology, Cambridge, MA, USA</w:t>
      </w:r>
    </w:p>
    <w:p w:rsidR="000120BA" w:rsidRPr="00060C57" w:rsidRDefault="000120BA" w:rsidP="000120BA">
      <w:pPr>
        <w:pStyle w:val="Addresses"/>
        <w:spacing w:line="360" w:lineRule="auto"/>
        <w:rPr>
          <w:sz w:val="22"/>
          <w:szCs w:val="22"/>
        </w:rPr>
      </w:pPr>
      <w:r w:rsidRPr="00060C57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>Faculty</w:t>
      </w:r>
      <w:proofErr w:type="spellEnd"/>
      <w:proofErr w:type="gramEnd"/>
      <w:r w:rsidRPr="00060C57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Medicine, </w:t>
      </w:r>
      <w:proofErr w:type="spellStart"/>
      <w:r w:rsidRPr="00060C57">
        <w:rPr>
          <w:sz w:val="22"/>
          <w:szCs w:val="22"/>
        </w:rPr>
        <w:t>Technion</w:t>
      </w:r>
      <w:proofErr w:type="spellEnd"/>
      <w:r w:rsidRPr="00060C57">
        <w:rPr>
          <w:sz w:val="22"/>
          <w:szCs w:val="22"/>
        </w:rPr>
        <w:t>, Israel Institute of Technology,</w:t>
      </w:r>
      <w:r w:rsidRPr="00E95C52">
        <w:rPr>
          <w:sz w:val="22"/>
          <w:szCs w:val="22"/>
        </w:rPr>
        <w:t xml:space="preserve"> </w:t>
      </w:r>
      <w:r w:rsidRPr="00060C57">
        <w:rPr>
          <w:sz w:val="22"/>
          <w:szCs w:val="22"/>
        </w:rPr>
        <w:t>Haifa 32000, Israel</w:t>
      </w:r>
    </w:p>
    <w:p w:rsidR="000120BA" w:rsidRDefault="000120BA" w:rsidP="00E00E74">
      <w:pPr>
        <w:pStyle w:val="Caption"/>
        <w:keepNext/>
        <w:keepLines/>
        <w:bidi w:val="0"/>
      </w:pPr>
    </w:p>
    <w:p w:rsidR="00B23A73" w:rsidRPr="00314DF5" w:rsidRDefault="00B23A73" w:rsidP="000120BA">
      <w:pPr>
        <w:pStyle w:val="Caption"/>
        <w:keepNext/>
        <w:keepLines/>
        <w:bidi w:val="0"/>
      </w:pPr>
      <w:r w:rsidRPr="00595103">
        <w:t xml:space="preserve">Table </w:t>
      </w:r>
      <w:r w:rsidR="00237C29">
        <w:t>S</w:t>
      </w:r>
      <w:r w:rsidR="00E00E74">
        <w:t>2</w:t>
      </w:r>
      <w:r w:rsidR="002D6292">
        <w:t xml:space="preserve">. </w:t>
      </w:r>
      <w:proofErr w:type="gramStart"/>
      <w:r w:rsidR="002D6292">
        <w:t>Transcription f</w:t>
      </w:r>
      <w:r w:rsidRPr="00595103">
        <w:t>acts and r</w:t>
      </w:r>
      <w:r w:rsidR="002D6292">
        <w:t>elevant r</w:t>
      </w:r>
      <w:r w:rsidRPr="00595103">
        <w:t>eferences</w:t>
      </w:r>
      <w:r w:rsidR="00EA7025">
        <w:t>.</w:t>
      </w:r>
      <w:proofErr w:type="gramEnd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97"/>
        <w:gridCol w:w="1277"/>
        <w:gridCol w:w="533"/>
      </w:tblGrid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D022E1">
              <w:rPr>
                <w:b/>
                <w:bCs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b/>
                <w:bCs/>
                <w:color w:val="000000"/>
                <w:sz w:val="20"/>
                <w:szCs w:val="20"/>
              </w:rPr>
            </w:pPr>
            <w:r w:rsidRPr="00D022E1">
              <w:rPr>
                <w:b/>
                <w:bCs/>
                <w:color w:val="000000"/>
                <w:sz w:val="20"/>
                <w:szCs w:val="20"/>
              </w:rPr>
              <w:t>Fact</w:t>
            </w:r>
            <w:r>
              <w:rPr>
                <w:b/>
                <w:bCs/>
                <w:color w:val="000000"/>
                <w:sz w:val="20"/>
                <w:szCs w:val="20"/>
              </w:rPr>
              <w:t>/Mechanism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D022E1">
              <w:rPr>
                <w:b/>
                <w:bCs/>
                <w:color w:val="000000"/>
                <w:sz w:val="20"/>
                <w:szCs w:val="20"/>
              </w:rPr>
              <w:t xml:space="preserve">Related Molecule </w:t>
            </w:r>
          </w:p>
        </w:tc>
        <w:tc>
          <w:tcPr>
            <w:tcW w:w="313" w:type="pct"/>
          </w:tcPr>
          <w:p w:rsidR="00B23A73" w:rsidRPr="00D022E1" w:rsidRDefault="00B23A73" w:rsidP="008C04E8">
            <w:pPr>
              <w:pStyle w:val="ListParagraph"/>
              <w:bidi w:val="0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022E1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_Ref330391682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 phosphatase activity is stimulated by Rpb4/7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_Ref330391706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2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 dephosphorylates CTD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285"/>
        </w:trPr>
        <w:tc>
          <w:tcPr>
            <w:tcW w:w="361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_Ref330391751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3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Rpb4/7 binds Pol II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Rpb4/7, Pol II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_Ref330391788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_Ref340822703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TFIIA, TFIID, </w:t>
            </w:r>
            <w:r>
              <w:rPr>
                <w:color w:val="000000"/>
                <w:sz w:val="20"/>
                <w:szCs w:val="20"/>
              </w:rPr>
              <w:t>TFIIH, TFIIE</w:t>
            </w:r>
            <w:r w:rsidRPr="00D022E1">
              <w:rPr>
                <w:color w:val="000000"/>
                <w:sz w:val="20"/>
                <w:szCs w:val="20"/>
              </w:rPr>
              <w:t xml:space="preserve"> stays on the promoter</w:t>
            </w:r>
            <w:r>
              <w:rPr>
                <w:color w:val="000000"/>
                <w:sz w:val="20"/>
                <w:szCs w:val="20"/>
              </w:rPr>
              <w:t xml:space="preserve"> after transcription initiation 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TFIIA, TFIID</w:t>
            </w:r>
            <w:r>
              <w:rPr>
                <w:color w:val="000000"/>
                <w:sz w:val="20"/>
                <w:szCs w:val="20"/>
              </w:rPr>
              <w:t>, TFIIH, TFIIE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_Ref330391788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_Ref340822703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</w:t>
            </w:r>
            <w:r>
              <w:rPr>
                <w:color w:val="000000"/>
                <w:sz w:val="20"/>
                <w:szCs w:val="20"/>
              </w:rPr>
              <w:t>F, TFIIB, Polymerase II disassociated from the</w:t>
            </w:r>
            <w:r w:rsidRPr="00D022E1">
              <w:rPr>
                <w:color w:val="000000"/>
                <w:sz w:val="20"/>
                <w:szCs w:val="20"/>
              </w:rPr>
              <w:t xml:space="preserve"> promoter</w:t>
            </w:r>
            <w:r>
              <w:rPr>
                <w:color w:val="000000"/>
                <w:sz w:val="20"/>
                <w:szCs w:val="20"/>
              </w:rPr>
              <w:t xml:space="preserve"> after transcription initiation </w:t>
            </w:r>
          </w:p>
        </w:tc>
        <w:tc>
          <w:tcPr>
            <w:tcW w:w="749" w:type="pct"/>
            <w:noWrap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TFIIF, TFIIB, Polymerase II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_Ref330391809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5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The phosphatase activity of Fcp1 is stimulated by the general transcription factor TFIIF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TFIIF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_Ref330391809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_Ref330391809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5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TFIIB inhibits Fcp1 phosphatase activity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_Ref330391843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_Ref330391843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6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proofErr w:type="spellStart"/>
            <w:r w:rsidRPr="00D022E1">
              <w:rPr>
                <w:color w:val="000000"/>
                <w:sz w:val="20"/>
                <w:szCs w:val="20"/>
              </w:rPr>
              <w:t>hyperphosphorylated</w:t>
            </w:r>
            <w:proofErr w:type="spellEnd"/>
            <w:r w:rsidRPr="00D022E1">
              <w:rPr>
                <w:color w:val="000000"/>
                <w:sz w:val="20"/>
                <w:szCs w:val="20"/>
              </w:rPr>
              <w:t xml:space="preserve"> form of the CTD is involved in the interaction with CPSF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CTD, CPSF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_Ref330391852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_Ref330391852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7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TFIIB serine 65 phosphorylation is required after the phosphorylation of serine 5 of RNA pol II C-terminal domain (CTD) has occurred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TFIIB, CTD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402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_Ref330391852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_Ref330391852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7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TFIIB serine 65 phosphorylation is required before productive transcription initiation begins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402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_Ref330391890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_Ref330391890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8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Rpb4-Rpb7 complex is not required for stable recruitment of polymerase to active </w:t>
            </w:r>
            <w:proofErr w:type="spellStart"/>
            <w:r w:rsidRPr="00D022E1">
              <w:rPr>
                <w:color w:val="000000"/>
                <w:sz w:val="20"/>
                <w:szCs w:val="20"/>
              </w:rPr>
              <w:t>preinitiation</w:t>
            </w:r>
            <w:proofErr w:type="spellEnd"/>
            <w:r w:rsidRPr="00D022E1">
              <w:rPr>
                <w:color w:val="000000"/>
                <w:sz w:val="20"/>
                <w:szCs w:val="20"/>
              </w:rPr>
              <w:t xml:space="preserve"> complexes 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Rpb4/7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lastRenderedPageBreak/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_Ref330391898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_Ref340822770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9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TFIIF and rpb7 has a role in early and late stages of transcription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Rpb7, TFIIF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_Ref340822777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3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RNA polymerase II (Pol II) is composed of ten subunit core and a two subunit dissociable </w:t>
            </w:r>
            <w:proofErr w:type="spellStart"/>
            <w:r w:rsidRPr="00D022E1">
              <w:rPr>
                <w:color w:val="000000"/>
                <w:sz w:val="20"/>
                <w:szCs w:val="20"/>
              </w:rPr>
              <w:t>subcomplex</w:t>
            </w:r>
            <w:proofErr w:type="spellEnd"/>
            <w:r w:rsidRPr="00D022E1">
              <w:rPr>
                <w:color w:val="000000"/>
                <w:sz w:val="20"/>
                <w:szCs w:val="20"/>
              </w:rPr>
              <w:t>, rpb4/rpb7 (comprising the fourth and seventh largest subunits) that form a Heterodimer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Rpb4/7, Pol II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15"/>
        </w:trPr>
        <w:tc>
          <w:tcPr>
            <w:tcW w:w="361" w:type="pct"/>
            <w:noWrap/>
            <w:hideMark/>
          </w:tcPr>
          <w:p w:rsidR="00C25257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8972E7">
              <w:rPr>
                <w:color w:val="000000"/>
                <w:sz w:val="20"/>
                <w:szCs w:val="20"/>
              </w:rPr>
              <w:t>[</w:t>
            </w:r>
            <w:r w:rsidRPr="008972E7">
              <w:rPr>
                <w:color w:val="000000"/>
                <w:sz w:val="20"/>
                <w:szCs w:val="20"/>
                <w:cs/>
              </w:rPr>
              <w:t>‎</w:t>
            </w:r>
            <w:r w:rsidR="00F73EEF">
              <w:rPr>
                <w:color w:val="000000"/>
                <w:sz w:val="20"/>
                <w:szCs w:val="20"/>
              </w:rPr>
              <w:fldChar w:fldCharType="begin"/>
            </w:r>
            <w:r w:rsidR="00F73EEF">
              <w:rPr>
                <w:color w:val="000000"/>
                <w:sz w:val="20"/>
                <w:szCs w:val="20"/>
              </w:rPr>
              <w:instrText xml:space="preserve"> REF _Ref330391751 \r \h </w:instrText>
            </w:r>
            <w:r w:rsidR="00F73EEF">
              <w:rPr>
                <w:color w:val="000000"/>
                <w:sz w:val="20"/>
                <w:szCs w:val="20"/>
              </w:rPr>
            </w:r>
            <w:r w:rsidR="00F73EEF">
              <w:rPr>
                <w:color w:val="000000"/>
                <w:sz w:val="20"/>
                <w:szCs w:val="20"/>
              </w:rPr>
              <w:fldChar w:fldCharType="separate"/>
            </w:r>
            <w:r w:rsidR="00BA0958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_Ref340822777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3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F73EEF">
              <w:rPr>
                <w:color w:val="000000"/>
                <w:sz w:val="20"/>
                <w:szCs w:val="20"/>
              </w:rPr>
              <w:fldChar w:fldCharType="end"/>
            </w:r>
            <w:r w:rsidRPr="008972E7">
              <w:rPr>
                <w:color w:val="000000"/>
                <w:sz w:val="20"/>
                <w:szCs w:val="20"/>
              </w:rPr>
              <w:t xml:space="preserve">, 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_Ref340822797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10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6228C1">
              <w:rPr>
                <w:color w:val="000000"/>
                <w:sz w:val="20"/>
                <w:szCs w:val="20"/>
              </w:rPr>
              <w:t xml:space="preserve">, 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_Ref340822806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11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8972E7">
              <w:rPr>
                <w:color w:val="000000"/>
                <w:sz w:val="20"/>
                <w:szCs w:val="20"/>
              </w:rPr>
              <w:t>,</w:t>
            </w:r>
          </w:p>
          <w:p w:rsidR="00B23A73" w:rsidRPr="008972E7" w:rsidRDefault="00C25257" w:rsidP="00C72A01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REF _Ref330391990 \r \h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6B57D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_Ref330391990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12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B23A73" w:rsidRPr="008972E7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Rpb4/7 participate in promoter-directed transcription initiation, elongation and termination 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Rpb4/7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_Ref330392008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3D79C3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_Ref340822822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13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FCP1 is a </w:t>
            </w:r>
            <w:proofErr w:type="spellStart"/>
            <w:r w:rsidRPr="00D022E1">
              <w:rPr>
                <w:color w:val="000000"/>
                <w:sz w:val="20"/>
                <w:szCs w:val="20"/>
              </w:rPr>
              <w:t>Carboxy</w:t>
            </w:r>
            <w:proofErr w:type="spellEnd"/>
            <w:r w:rsidRPr="00D022E1">
              <w:rPr>
                <w:color w:val="000000"/>
                <w:sz w:val="20"/>
                <w:szCs w:val="20"/>
              </w:rPr>
              <w:t xml:space="preserve">-terminal domain (CTD) phosphatase 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_Ref330392033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EF3C7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_Ref340822833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TFIIF and TFIIB bind the same binding region of fcp1 competitively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TFIIF, 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="00DA7034">
              <w:rPr>
                <w:color w:val="000000"/>
                <w:sz w:val="20"/>
                <w:szCs w:val="20"/>
              </w:rPr>
              <w:fldChar w:fldCharType="begin"/>
            </w:r>
            <w:r w:rsidR="00DA7034">
              <w:rPr>
                <w:color w:val="000000"/>
                <w:sz w:val="20"/>
                <w:szCs w:val="20"/>
              </w:rPr>
              <w:instrText xml:space="preserve"> REF _Ref330392033 \r \h </w:instrText>
            </w:r>
            <w:r w:rsidR="00DA7034">
              <w:rPr>
                <w:color w:val="000000"/>
                <w:sz w:val="20"/>
                <w:szCs w:val="20"/>
              </w:rPr>
            </w:r>
            <w:r w:rsidR="00DA7034">
              <w:rPr>
                <w:color w:val="000000"/>
                <w:sz w:val="20"/>
                <w:szCs w:val="20"/>
              </w:rPr>
              <w:fldChar w:fldCharType="separate"/>
            </w:r>
            <w:r w:rsidR="00EF3C7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_Ref340822833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DA7034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TFIIF binds Fcp1 at the BRCT domain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TFIIF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="00A73247">
              <w:rPr>
                <w:color w:val="000000"/>
                <w:sz w:val="20"/>
                <w:szCs w:val="20"/>
              </w:rPr>
              <w:fldChar w:fldCharType="begin"/>
            </w:r>
            <w:r w:rsidR="00A73247">
              <w:rPr>
                <w:color w:val="000000"/>
                <w:sz w:val="20"/>
                <w:szCs w:val="20"/>
              </w:rPr>
              <w:instrText xml:space="preserve"> REF _Ref330392033 \r \h </w:instrText>
            </w:r>
            <w:r w:rsidR="00A73247">
              <w:rPr>
                <w:color w:val="000000"/>
                <w:sz w:val="20"/>
                <w:szCs w:val="20"/>
              </w:rPr>
            </w:r>
            <w:r w:rsidR="00A73247">
              <w:rPr>
                <w:color w:val="000000"/>
                <w:sz w:val="20"/>
                <w:szCs w:val="20"/>
              </w:rPr>
              <w:fldChar w:fldCharType="separate"/>
            </w:r>
            <w:r w:rsidR="00EF3C7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_Ref340822833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A73247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TFIIB binds Fcp1 at the BRCT domain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="00A73247">
              <w:rPr>
                <w:color w:val="000000"/>
                <w:sz w:val="20"/>
                <w:szCs w:val="20"/>
              </w:rPr>
              <w:fldChar w:fldCharType="begin"/>
            </w:r>
            <w:r w:rsidR="00A73247">
              <w:rPr>
                <w:color w:val="000000"/>
                <w:sz w:val="20"/>
                <w:szCs w:val="20"/>
              </w:rPr>
              <w:instrText xml:space="preserve"> REF _Ref330392033 \r \h </w:instrText>
            </w:r>
            <w:r w:rsidR="00A73247">
              <w:rPr>
                <w:color w:val="000000"/>
                <w:sz w:val="20"/>
                <w:szCs w:val="20"/>
              </w:rPr>
            </w:r>
            <w:r w:rsidR="00A73247">
              <w:rPr>
                <w:color w:val="000000"/>
                <w:sz w:val="20"/>
                <w:szCs w:val="20"/>
              </w:rPr>
              <w:fldChar w:fldCharType="separate"/>
            </w:r>
            <w:r w:rsidR="003B3CB0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_Ref340822833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A73247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TFIIF stimulate CTD-phosphatase activity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_Ref330392099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Pr="00D022E1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="00DA7034">
              <w:rPr>
                <w:color w:val="000000"/>
                <w:sz w:val="20"/>
                <w:szCs w:val="20"/>
              </w:rPr>
              <w:fldChar w:fldCharType="begin"/>
            </w:r>
            <w:r w:rsidR="00DA7034">
              <w:rPr>
                <w:color w:val="000000"/>
                <w:sz w:val="20"/>
                <w:szCs w:val="20"/>
              </w:rPr>
              <w:instrText xml:space="preserve"> REF _Ref330391706 \r \h </w:instrText>
            </w:r>
            <w:r w:rsidR="00DA7034">
              <w:rPr>
                <w:color w:val="000000"/>
                <w:sz w:val="20"/>
                <w:szCs w:val="20"/>
              </w:rPr>
            </w:r>
            <w:r w:rsidR="00DA7034">
              <w:rPr>
                <w:color w:val="000000"/>
                <w:sz w:val="20"/>
                <w:szCs w:val="20"/>
              </w:rPr>
              <w:fldChar w:fldCharType="separate"/>
            </w:r>
            <w:r w:rsidR="00EF3C7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_Ref330391706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2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DA7034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 xml:space="preserve">, 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_Ref340822833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  <w:rtl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two adjacent regions of yeast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D022E1">
              <w:rPr>
                <w:color w:val="000000"/>
                <w:sz w:val="20"/>
                <w:szCs w:val="20"/>
              </w:rPr>
              <w:t>cp1 containing amino acid residues 457 to 666 and 667 to 732 can each bind yeast RAP74 (subunit of TFIIF) independently</w:t>
            </w:r>
            <w:r>
              <w:rPr>
                <w:color w:val="000000"/>
                <w:sz w:val="20"/>
                <w:szCs w:val="20"/>
              </w:rPr>
              <w:t xml:space="preserve">, in </w:t>
            </w:r>
            <w:r w:rsidRPr="00A133A3">
              <w:rPr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133A3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TFIIF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_Ref340822777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3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TFIIF binds Rpb4/7 heterodimer 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Rpb4/7, TFIIF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_Ref330391965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EF3C7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_Ref340822797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10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Fcp1/TFIIF/pol II </w:t>
            </w:r>
            <w:r>
              <w:rPr>
                <w:color w:val="000000"/>
                <w:sz w:val="20"/>
                <w:szCs w:val="20"/>
              </w:rPr>
              <w:t xml:space="preserve">forms a </w:t>
            </w:r>
            <w:r w:rsidRPr="00D022E1">
              <w:rPr>
                <w:color w:val="000000"/>
                <w:sz w:val="20"/>
                <w:szCs w:val="20"/>
              </w:rPr>
              <w:t>complex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Fcp1/TFIIF/pol II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_Ref330392150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194B63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_Ref340822797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10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194B63">
              <w:rPr>
                <w:color w:val="000000"/>
                <w:sz w:val="20"/>
                <w:szCs w:val="20"/>
              </w:rPr>
              <w:t xml:space="preserve">, 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_Ref340822902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15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="00DA7034">
              <w:rPr>
                <w:color w:val="000000"/>
                <w:sz w:val="20"/>
                <w:szCs w:val="20"/>
              </w:rPr>
              <w:fldChar w:fldCharType="begin"/>
            </w:r>
            <w:r w:rsidR="00DA7034">
              <w:rPr>
                <w:color w:val="000000"/>
                <w:sz w:val="20"/>
                <w:szCs w:val="20"/>
              </w:rPr>
              <w:instrText xml:space="preserve"> REF _Ref330391965 \r \h </w:instrText>
            </w:r>
            <w:r w:rsidR="00DA7034">
              <w:rPr>
                <w:color w:val="000000"/>
                <w:sz w:val="20"/>
                <w:szCs w:val="20"/>
              </w:rPr>
            </w:r>
            <w:r w:rsidR="00DA7034">
              <w:rPr>
                <w:color w:val="000000"/>
                <w:sz w:val="20"/>
                <w:szCs w:val="20"/>
              </w:rPr>
              <w:fldChar w:fldCharType="separate"/>
            </w:r>
            <w:r w:rsidR="00EF3C7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DA7034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 recruits the CTD phosphatase Fcp1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Rpb4, 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‎‎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_Ref330392165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4A73E3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_Ref340822915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16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amino acid 457 to 666 of Fcp1 binds TFIIB</w:t>
            </w:r>
            <w:r>
              <w:rPr>
                <w:color w:val="000000"/>
                <w:sz w:val="20"/>
                <w:szCs w:val="20"/>
              </w:rPr>
              <w:t xml:space="preserve">, in </w:t>
            </w:r>
            <w:r w:rsidRPr="00A133A3">
              <w:rPr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133A3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‎‎</w:t>
            </w:r>
            <w:r w:rsidR="004A73E3">
              <w:rPr>
                <w:color w:val="000000"/>
                <w:sz w:val="20"/>
                <w:szCs w:val="20"/>
              </w:rPr>
              <w:fldChar w:fldCharType="begin"/>
            </w:r>
            <w:r w:rsidR="004A73E3">
              <w:rPr>
                <w:color w:val="000000"/>
                <w:sz w:val="20"/>
                <w:szCs w:val="20"/>
              </w:rPr>
              <w:instrText xml:space="preserve"> REF _Ref330392165 \r \h </w:instrText>
            </w:r>
            <w:r w:rsidR="004A73E3">
              <w:rPr>
                <w:color w:val="000000"/>
                <w:sz w:val="20"/>
                <w:szCs w:val="20"/>
              </w:rPr>
            </w:r>
            <w:r w:rsidR="004A73E3">
              <w:rPr>
                <w:color w:val="000000"/>
                <w:sz w:val="20"/>
                <w:szCs w:val="20"/>
              </w:rPr>
              <w:fldChar w:fldCharType="separate"/>
            </w:r>
            <w:r w:rsidR="004A73E3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_Ref340822915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16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4A73E3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amino acid 667 to 732 of Fcp1 binds TFIIB</w:t>
            </w:r>
            <w:r>
              <w:rPr>
                <w:color w:val="000000"/>
                <w:sz w:val="20"/>
                <w:szCs w:val="20"/>
              </w:rPr>
              <w:t xml:space="preserve">, in </w:t>
            </w:r>
            <w:r w:rsidRPr="00A133A3">
              <w:rPr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133A3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Fcp1, TFIIB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4A73E3">
              <w:rPr>
                <w:color w:val="000000"/>
                <w:sz w:val="20"/>
                <w:szCs w:val="20"/>
              </w:rPr>
              <w:fldChar w:fldCharType="begin"/>
            </w:r>
            <w:r w:rsidR="004A73E3">
              <w:rPr>
                <w:color w:val="000000"/>
                <w:sz w:val="20"/>
                <w:szCs w:val="20"/>
              </w:rPr>
              <w:instrText xml:space="preserve"> REF _Ref330392165 \r \h </w:instrText>
            </w:r>
            <w:r w:rsidR="004A73E3">
              <w:rPr>
                <w:color w:val="000000"/>
                <w:sz w:val="20"/>
                <w:szCs w:val="20"/>
              </w:rPr>
            </w:r>
            <w:r w:rsidR="004A73E3">
              <w:rPr>
                <w:color w:val="000000"/>
                <w:sz w:val="20"/>
                <w:szCs w:val="20"/>
              </w:rPr>
              <w:fldChar w:fldCharType="separate"/>
            </w:r>
            <w:r w:rsidR="004A73E3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_Ref340822915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16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4A73E3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Fcp1, </w:t>
            </w:r>
            <w:r w:rsidRPr="00D022E1">
              <w:rPr>
                <w:color w:val="000000"/>
                <w:sz w:val="20"/>
                <w:szCs w:val="20"/>
              </w:rPr>
              <w:t>Phosphatase catalytic domain, named FCPH, is between residues 170 -  363</w:t>
            </w:r>
            <w:r>
              <w:rPr>
                <w:color w:val="000000"/>
                <w:sz w:val="20"/>
                <w:szCs w:val="20"/>
              </w:rPr>
              <w:t xml:space="preserve">, in </w:t>
            </w:r>
            <w:r w:rsidRPr="00A133A3">
              <w:rPr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133A3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  <w:cs/>
              </w:rPr>
              <w:t>‎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_Ref330392033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415FF9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_Ref340822833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14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FCPH</w:t>
            </w:r>
            <w:r w:rsidRPr="00D022E1" w:rsidDel="007F0CBC">
              <w:rPr>
                <w:color w:val="000000"/>
                <w:sz w:val="20"/>
                <w:szCs w:val="20"/>
              </w:rPr>
              <w:t xml:space="preserve"> </w:t>
            </w:r>
            <w:r w:rsidRPr="00D022E1">
              <w:rPr>
                <w:color w:val="000000"/>
                <w:sz w:val="20"/>
                <w:szCs w:val="20"/>
              </w:rPr>
              <w:t xml:space="preserve">catalytic domain of Fcp1 is essential for the function of Fcp1 in vivo 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EE6452">
              <w:rPr>
                <w:color w:val="000000"/>
                <w:sz w:val="20"/>
                <w:szCs w:val="20"/>
              </w:rPr>
              <w:fldChar w:fldCharType="begin"/>
            </w:r>
            <w:r w:rsidR="00EE6452">
              <w:rPr>
                <w:color w:val="000000"/>
                <w:sz w:val="20"/>
                <w:szCs w:val="20"/>
              </w:rPr>
              <w:instrText xml:space="preserve"> REF _Ref330392165 \r \h </w:instrText>
            </w:r>
            <w:r w:rsidR="00EE6452">
              <w:rPr>
                <w:color w:val="000000"/>
                <w:sz w:val="20"/>
                <w:szCs w:val="20"/>
              </w:rPr>
            </w:r>
            <w:r w:rsidR="00EE6452">
              <w:rPr>
                <w:color w:val="000000"/>
                <w:sz w:val="20"/>
                <w:szCs w:val="20"/>
              </w:rPr>
              <w:fldChar w:fldCharType="separate"/>
            </w:r>
            <w:r w:rsidR="00EE645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_Ref340822915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16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EE6452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 xml:space="preserve">Fcp1 </w:t>
            </w:r>
            <w:r>
              <w:rPr>
                <w:color w:val="000000"/>
                <w:sz w:val="20"/>
                <w:szCs w:val="20"/>
              </w:rPr>
              <w:t xml:space="preserve">has a </w:t>
            </w:r>
            <w:r w:rsidRPr="00D022E1">
              <w:rPr>
                <w:color w:val="000000"/>
                <w:sz w:val="20"/>
                <w:szCs w:val="20"/>
              </w:rPr>
              <w:t>BRCT domain (amino acids 499 – 593 )</w:t>
            </w:r>
            <w:r>
              <w:rPr>
                <w:color w:val="000000"/>
                <w:sz w:val="20"/>
                <w:szCs w:val="20"/>
              </w:rPr>
              <w:t xml:space="preserve">, in </w:t>
            </w:r>
            <w:r w:rsidRPr="00A133A3">
              <w:rPr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133A3">
              <w:rPr>
                <w:i/>
                <w:iCs/>
                <w:color w:val="000000"/>
                <w:sz w:val="20"/>
                <w:szCs w:val="20"/>
              </w:rPr>
              <w:t>cerevisiae</w:t>
            </w:r>
            <w:proofErr w:type="spellEnd"/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Fcp1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_Ref330539966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17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DA5A28">
              <w:rPr>
                <w:color w:val="000000"/>
                <w:sz w:val="20"/>
                <w:szCs w:val="20"/>
              </w:rPr>
              <w:t xml:space="preserve">, 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_Ref330392214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EE645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_Ref330392214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18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REF _Ref330539966 \r \h  \* MERGEFORMAT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EE645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D022E1">
              <w:rPr>
                <w:color w:val="000000"/>
                <w:sz w:val="20"/>
                <w:szCs w:val="20"/>
              </w:rPr>
              <w:t xml:space="preserve">erine 2 phosphorylation and </w:t>
            </w:r>
            <w:proofErr w:type="spellStart"/>
            <w:r w:rsidRPr="00D022E1">
              <w:rPr>
                <w:color w:val="000000"/>
                <w:sz w:val="20"/>
                <w:szCs w:val="20"/>
              </w:rPr>
              <w:t>dephoshprylation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mechanisms: 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Subsequent to ser5 phosphorylation by the action of TFIIH kinase, Ser2 residues are phosphorylated. 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phosphorylation of Ser2 by the CDK9 (CDK9 in metazoans/CTDK-I in yeast) subunit of positive-transcription elongation factor b (P-</w:t>
            </w:r>
            <w:proofErr w:type="spellStart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TEFb</w:t>
            </w:r>
            <w:proofErr w:type="spellEnd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activates elongation and RNA processing (splicing and </w:t>
            </w:r>
            <w:proofErr w:type="spellStart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polyadenylation</w:t>
            </w:r>
            <w:proofErr w:type="spellEnd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Ser2 dephosphorylated after Ser5.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Timing of </w:t>
            </w:r>
            <w:proofErr w:type="spellStart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dephosphorylation</w:t>
            </w:r>
            <w:proofErr w:type="spellEnd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unknown and conjectured to be during termination.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lastRenderedPageBreak/>
              <w:t>CTD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lastRenderedPageBreak/>
              <w:t>[</w:t>
            </w:r>
            <w:r w:rsidR="00166C0C" w:rsidRPr="00D022E1">
              <w:rPr>
                <w:color w:val="000000"/>
                <w:sz w:val="20"/>
                <w:szCs w:val="20"/>
              </w:rPr>
              <w:fldChar w:fldCharType="begin"/>
            </w:r>
            <w:r w:rsidR="00166C0C" w:rsidRPr="00D022E1">
              <w:rPr>
                <w:color w:val="000000"/>
                <w:sz w:val="20"/>
                <w:szCs w:val="20"/>
              </w:rPr>
              <w:instrText xml:space="preserve"> REF _Ref330392214 \r \h </w:instrText>
            </w:r>
            <w:r w:rsidR="00166C0C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="00166C0C" w:rsidRPr="00D022E1">
              <w:rPr>
                <w:color w:val="000000"/>
                <w:sz w:val="20"/>
                <w:szCs w:val="20"/>
              </w:rPr>
            </w:r>
            <w:r w:rsidR="00166C0C"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38624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_Ref330539966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17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386242">
              <w:rPr>
                <w:color w:val="000000"/>
                <w:sz w:val="20"/>
                <w:szCs w:val="20"/>
              </w:rPr>
              <w:t xml:space="preserve">, 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_Ref330392214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18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166C0C" w:rsidRPr="00D022E1">
              <w:rPr>
                <w:color w:val="000000"/>
                <w:sz w:val="20"/>
                <w:szCs w:val="20"/>
              </w:rPr>
              <w:fldChar w:fldCharType="end"/>
            </w:r>
            <w:r w:rsidR="00166C0C">
              <w:rPr>
                <w:color w:val="000000"/>
                <w:sz w:val="20"/>
                <w:szCs w:val="20"/>
              </w:rPr>
              <w:fldChar w:fldCharType="begin"/>
            </w:r>
            <w:r w:rsidR="00166C0C">
              <w:rPr>
                <w:color w:val="000000"/>
                <w:sz w:val="20"/>
                <w:szCs w:val="20"/>
              </w:rPr>
              <w:instrText xml:space="preserve"> REF _Ref330539966 \r \h  \* MERGEFORMAT </w:instrText>
            </w:r>
            <w:r w:rsidR="00166C0C">
              <w:rPr>
                <w:color w:val="000000"/>
                <w:sz w:val="20"/>
                <w:szCs w:val="20"/>
              </w:rPr>
            </w:r>
            <w:r w:rsidR="00166C0C">
              <w:rPr>
                <w:color w:val="000000"/>
                <w:sz w:val="20"/>
                <w:szCs w:val="20"/>
              </w:rPr>
              <w:fldChar w:fldCharType="separate"/>
            </w:r>
            <w:r w:rsidR="0038624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166C0C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D022E1">
              <w:rPr>
                <w:color w:val="000000"/>
                <w:sz w:val="20"/>
                <w:szCs w:val="20"/>
              </w:rPr>
              <w:t xml:space="preserve">erine 7 phosphorylation and </w:t>
            </w:r>
            <w:proofErr w:type="spellStart"/>
            <w:r w:rsidRPr="00D022E1">
              <w:rPr>
                <w:color w:val="000000"/>
                <w:sz w:val="20"/>
                <w:szCs w:val="20"/>
              </w:rPr>
              <w:t>dephoshprylation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mechanisms.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 7 phosphorylation by an unknown kinase occurs during elongation and before splicing.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Timing of </w:t>
            </w:r>
            <w:proofErr w:type="spellStart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dephosphorylation</w:t>
            </w:r>
            <w:proofErr w:type="spellEnd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unknown and conjectured to be during termination.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CTD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300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="00166C0C" w:rsidRPr="00D022E1">
              <w:rPr>
                <w:color w:val="000000"/>
                <w:sz w:val="20"/>
                <w:szCs w:val="20"/>
              </w:rPr>
              <w:fldChar w:fldCharType="begin"/>
            </w:r>
            <w:r w:rsidR="00166C0C" w:rsidRPr="00D022E1">
              <w:rPr>
                <w:color w:val="000000"/>
                <w:sz w:val="20"/>
                <w:szCs w:val="20"/>
              </w:rPr>
              <w:instrText xml:space="preserve"> REF _Ref330392214 \r \h </w:instrText>
            </w:r>
            <w:r w:rsidR="00166C0C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="00166C0C" w:rsidRPr="00D022E1">
              <w:rPr>
                <w:color w:val="000000"/>
                <w:sz w:val="20"/>
                <w:szCs w:val="20"/>
              </w:rPr>
            </w:r>
            <w:r w:rsidR="00166C0C"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38624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_Ref330539966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17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386242">
              <w:rPr>
                <w:color w:val="000000"/>
                <w:sz w:val="20"/>
                <w:szCs w:val="20"/>
              </w:rPr>
              <w:t xml:space="preserve">, </w:t>
            </w:r>
            <w:r w:rsidR="00C72A01">
              <w:rPr>
                <w:color w:val="000000"/>
                <w:sz w:val="20"/>
                <w:szCs w:val="20"/>
              </w:rPr>
              <w:fldChar w:fldCharType="begin"/>
            </w:r>
            <w:r w:rsidR="00C72A01">
              <w:rPr>
                <w:color w:val="000000"/>
                <w:sz w:val="20"/>
                <w:szCs w:val="20"/>
              </w:rPr>
              <w:instrText xml:space="preserve"> REF _Ref330392214 \r \h </w:instrText>
            </w:r>
            <w:r w:rsidR="00C72A01">
              <w:rPr>
                <w:color w:val="000000"/>
                <w:sz w:val="20"/>
                <w:szCs w:val="20"/>
              </w:rPr>
            </w:r>
            <w:r w:rsidR="00C72A01">
              <w:rPr>
                <w:color w:val="000000"/>
                <w:sz w:val="20"/>
                <w:szCs w:val="20"/>
              </w:rPr>
              <w:fldChar w:fldCharType="separate"/>
            </w:r>
            <w:r w:rsidR="00C72A01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C72A01">
              <w:rPr>
                <w:color w:val="000000"/>
                <w:sz w:val="20"/>
                <w:szCs w:val="20"/>
              </w:rPr>
              <w:t>18</w:t>
            </w:r>
            <w:r w:rsidR="00C72A01">
              <w:rPr>
                <w:color w:val="000000"/>
                <w:sz w:val="20"/>
                <w:szCs w:val="20"/>
              </w:rPr>
              <w:fldChar w:fldCharType="end"/>
            </w:r>
            <w:r w:rsidR="00166C0C" w:rsidRPr="00D022E1">
              <w:rPr>
                <w:color w:val="000000"/>
                <w:sz w:val="20"/>
                <w:szCs w:val="20"/>
              </w:rPr>
              <w:fldChar w:fldCharType="end"/>
            </w:r>
            <w:r w:rsidR="00166C0C">
              <w:rPr>
                <w:color w:val="000000"/>
                <w:sz w:val="20"/>
                <w:szCs w:val="20"/>
              </w:rPr>
              <w:fldChar w:fldCharType="begin"/>
            </w:r>
            <w:r w:rsidR="00166C0C">
              <w:rPr>
                <w:color w:val="000000"/>
                <w:sz w:val="20"/>
                <w:szCs w:val="20"/>
              </w:rPr>
              <w:instrText xml:space="preserve"> REF _Ref330539966 \r \h  \* MERGEFORMAT </w:instrText>
            </w:r>
            <w:r w:rsidR="00166C0C">
              <w:rPr>
                <w:color w:val="000000"/>
                <w:sz w:val="20"/>
                <w:szCs w:val="20"/>
              </w:rPr>
            </w:r>
            <w:r w:rsidR="00166C0C">
              <w:rPr>
                <w:color w:val="000000"/>
                <w:sz w:val="20"/>
                <w:szCs w:val="20"/>
              </w:rPr>
              <w:fldChar w:fldCharType="separate"/>
            </w:r>
            <w:r w:rsidR="00386242">
              <w:rPr>
                <w:rFonts w:hint="cs"/>
                <w:color w:val="000000"/>
                <w:sz w:val="20"/>
                <w:szCs w:val="20"/>
                <w:cs/>
              </w:rPr>
              <w:t>‎</w:t>
            </w:r>
            <w:r w:rsidR="00166C0C">
              <w:rPr>
                <w:color w:val="000000"/>
                <w:sz w:val="20"/>
                <w:szCs w:val="20"/>
              </w:rPr>
              <w:fldChar w:fldCharType="end"/>
            </w:r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D022E1">
              <w:rPr>
                <w:color w:val="000000"/>
                <w:sz w:val="20"/>
                <w:szCs w:val="20"/>
              </w:rPr>
              <w:t xml:space="preserve">erine 5 phosphorylation and </w:t>
            </w:r>
            <w:proofErr w:type="spellStart"/>
            <w:r w:rsidRPr="00D022E1">
              <w:rPr>
                <w:color w:val="000000"/>
                <w:sz w:val="20"/>
                <w:szCs w:val="20"/>
              </w:rPr>
              <w:t>dephoshprylation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mechanisms. 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Ser5 phosphorylated near the 5′ ends of genes depends on the kinase activity of TFIIH.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Phosphorylation on Ser5 by TFIIH helps recruit capping enzymes (capping must be activated after Ser5 phosphorylation).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Ser5 dephosphorylated </w:t>
            </w:r>
            <w:proofErr w:type="gramStart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yeast and in some mammalian genes toward the 3`end of the transcription unit (after elongation, not clear when exactly).</w:t>
            </w:r>
          </w:p>
          <w:p w:rsidR="00B23A73" w:rsidRPr="008C04E8" w:rsidRDefault="00B23A73" w:rsidP="00B23A73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Ser5 phosphatase activity is implicated in termination. It is not clear when exactly in the transcription cycle the Ser5 phosphatases act.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CTD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23A73" w:rsidRPr="00D022E1" w:rsidTr="008C04E8">
        <w:trPr>
          <w:trHeight w:val="613"/>
        </w:trPr>
        <w:tc>
          <w:tcPr>
            <w:tcW w:w="361" w:type="pct"/>
            <w:noWrap/>
            <w:hideMark/>
          </w:tcPr>
          <w:p w:rsidR="00B23A73" w:rsidRPr="00D022E1" w:rsidRDefault="00B23A73" w:rsidP="00C72A01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[</w:t>
            </w:r>
            <w:r w:rsidRPr="00D022E1">
              <w:rPr>
                <w:color w:val="000000"/>
                <w:sz w:val="20"/>
                <w:szCs w:val="20"/>
              </w:rPr>
              <w:fldChar w:fldCharType="begin"/>
            </w:r>
            <w:r w:rsidRPr="00D022E1">
              <w:rPr>
                <w:color w:val="000000"/>
                <w:sz w:val="20"/>
                <w:szCs w:val="20"/>
              </w:rPr>
              <w:instrText xml:space="preserve"> REF _Ref330392243 \r \h </w:instrText>
            </w:r>
            <w:r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D022E1">
              <w:rPr>
                <w:color w:val="000000"/>
                <w:sz w:val="20"/>
                <w:szCs w:val="20"/>
              </w:rPr>
            </w:r>
            <w:r w:rsidRPr="00D022E1">
              <w:rPr>
                <w:color w:val="000000"/>
                <w:sz w:val="20"/>
                <w:szCs w:val="20"/>
              </w:rPr>
              <w:fldChar w:fldCharType="separate"/>
            </w:r>
            <w:r w:rsidR="00BF74A9">
              <w:rPr>
                <w:rFonts w:hint="eastAsia"/>
                <w:color w:val="000000"/>
                <w:sz w:val="20"/>
                <w:szCs w:val="20"/>
                <w:cs/>
              </w:rPr>
              <w:t>‎</w:t>
            </w:r>
            <w:r w:rsidR="00BF74A9">
              <w:rPr>
                <w:color w:val="000000"/>
                <w:sz w:val="20"/>
                <w:szCs w:val="20"/>
              </w:rPr>
              <w:t>19</w:t>
            </w:r>
            <w:r w:rsidRPr="00D022E1">
              <w:rPr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Pr="00D022E1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3577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TFIID, TFIIA, stay at the promoter when RNAPII engages in transcript elongation</w:t>
            </w:r>
          </w:p>
        </w:tc>
        <w:tc>
          <w:tcPr>
            <w:tcW w:w="749" w:type="pct"/>
            <w:noWrap/>
            <w:hideMark/>
          </w:tcPr>
          <w:p w:rsidR="00B23A73" w:rsidRPr="00D022E1" w:rsidRDefault="00B23A73" w:rsidP="008C04E8">
            <w:pPr>
              <w:bidi w:val="0"/>
              <w:rPr>
                <w:color w:val="000000"/>
                <w:sz w:val="20"/>
                <w:szCs w:val="20"/>
              </w:rPr>
            </w:pPr>
            <w:r w:rsidRPr="00D022E1">
              <w:rPr>
                <w:color w:val="000000"/>
                <w:sz w:val="20"/>
                <w:szCs w:val="20"/>
              </w:rPr>
              <w:t>GTFs</w:t>
            </w:r>
          </w:p>
        </w:tc>
        <w:tc>
          <w:tcPr>
            <w:tcW w:w="313" w:type="pct"/>
          </w:tcPr>
          <w:p w:rsidR="00B23A73" w:rsidRPr="00D022E1" w:rsidRDefault="00B23A73" w:rsidP="00B23A73">
            <w:pPr>
              <w:pStyle w:val="ListParagraph"/>
              <w:numPr>
                <w:ilvl w:val="0"/>
                <w:numId w:val="6"/>
              </w:numPr>
              <w:bidi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022F9" w:rsidRDefault="009022F9" w:rsidP="009022F9">
      <w:pPr>
        <w:bidi w:val="0"/>
        <w:rPr>
          <w:lang w:eastAsia="he-IL"/>
        </w:rPr>
      </w:pPr>
      <w:r>
        <w:rPr>
          <w:lang w:eastAsia="he-IL"/>
        </w:rPr>
        <w:t>References</w:t>
      </w:r>
    </w:p>
    <w:p w:rsidR="00DC40AB" w:rsidRDefault="00F17126" w:rsidP="00F17126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" w:name="_Ref330391682"/>
      <w:proofErr w:type="spellStart"/>
      <w:r w:rsidRPr="00F17126">
        <w:rPr>
          <w:rFonts w:ascii="Times New Roman" w:hAnsi="Times New Roman" w:cs="Times New Roman"/>
          <w:sz w:val="20"/>
          <w:szCs w:val="20"/>
        </w:rPr>
        <w:t>Kamenski</w:t>
      </w:r>
      <w:proofErr w:type="spellEnd"/>
      <w:r w:rsidRPr="00F17126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F17126">
        <w:rPr>
          <w:rFonts w:ascii="Times New Roman" w:hAnsi="Times New Roman" w:cs="Times New Roman"/>
          <w:sz w:val="20"/>
          <w:szCs w:val="20"/>
        </w:rPr>
        <w:t>Heilmeier</w:t>
      </w:r>
      <w:proofErr w:type="spellEnd"/>
      <w:r w:rsidRPr="00F17126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F17126">
        <w:rPr>
          <w:rFonts w:ascii="Times New Roman" w:hAnsi="Times New Roman" w:cs="Times New Roman"/>
          <w:sz w:val="20"/>
          <w:szCs w:val="20"/>
        </w:rPr>
        <w:t>Meinhart</w:t>
      </w:r>
      <w:proofErr w:type="spellEnd"/>
      <w:r w:rsidRPr="00F17126">
        <w:rPr>
          <w:rFonts w:ascii="Times New Roman" w:hAnsi="Times New Roman" w:cs="Times New Roman"/>
          <w:sz w:val="20"/>
          <w:szCs w:val="20"/>
        </w:rPr>
        <w:t xml:space="preserve"> A, Cramer P. Structure and mechanism of RNA polymerase II CTD phosphatases. </w:t>
      </w:r>
      <w:proofErr w:type="spellStart"/>
      <w:r w:rsidRPr="00F17126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F17126">
        <w:rPr>
          <w:rFonts w:ascii="Times New Roman" w:hAnsi="Times New Roman" w:cs="Times New Roman"/>
          <w:sz w:val="20"/>
          <w:szCs w:val="20"/>
        </w:rPr>
        <w:t xml:space="preserve"> Cell. 2004</w:t>
      </w:r>
      <w:proofErr w:type="gramStart"/>
      <w:r w:rsidRPr="00F17126">
        <w:rPr>
          <w:rFonts w:ascii="Times New Roman" w:hAnsi="Times New Roman" w:cs="Times New Roman"/>
          <w:sz w:val="20"/>
          <w:szCs w:val="20"/>
        </w:rPr>
        <w:t>;15</w:t>
      </w:r>
      <w:proofErr w:type="gramEnd"/>
      <w:r w:rsidRPr="00F17126">
        <w:rPr>
          <w:rFonts w:ascii="Times New Roman" w:hAnsi="Times New Roman" w:cs="Times New Roman"/>
          <w:sz w:val="20"/>
          <w:szCs w:val="20"/>
        </w:rPr>
        <w:t>(3):399-407.</w:t>
      </w:r>
      <w:bookmarkEnd w:id="1"/>
    </w:p>
    <w:p w:rsidR="00DC40AB" w:rsidRDefault="00B41736" w:rsidP="00DC40AB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2" w:name="_Ref330391706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Archambault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J, Pan G,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Dahmus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GK, Cartier M, Marshall N, Zhang S, et al. FCP1, the RAP74-interacting subunit of a human protein phosphatase that dephosphorylates the carboxyl-terminal domain of RNA polymerase IIO. J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Chem. 1998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;273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(42)</w:t>
      </w:r>
      <w:r w:rsidR="00DC40AB" w:rsidRPr="003F24E4">
        <w:rPr>
          <w:rFonts w:ascii="Times New Roman" w:hAnsi="Times New Roman" w:cs="Times New Roman"/>
          <w:sz w:val="20"/>
          <w:szCs w:val="20"/>
        </w:rPr>
        <w:t>.</w:t>
      </w:r>
      <w:bookmarkEnd w:id="2"/>
    </w:p>
    <w:p w:rsidR="00D87652" w:rsidRPr="00D87652" w:rsidRDefault="00B70B60" w:rsidP="00B70B60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3" w:name="_Ref330391751"/>
      <w:bookmarkStart w:id="4" w:name="_Ref340822777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Choder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M. Rpb4 and Rpb7: Subunits of RNA polymerase II and beyond. Trends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Sci. 2004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;29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(12):674-81.</w:t>
      </w:r>
      <w:bookmarkEnd w:id="4"/>
      <w:r w:rsidRPr="003F24E4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</w:p>
    <w:p w:rsidR="00DC40AB" w:rsidRPr="00854267" w:rsidRDefault="00B70B60" w:rsidP="00DC40AB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D3FFC">
        <w:rPr>
          <w:rFonts w:ascii="Times New Roman" w:hAnsi="Times New Roman" w:cs="Times New Roman"/>
          <w:sz w:val="20"/>
          <w:szCs w:val="20"/>
        </w:rPr>
        <w:t> </w:t>
      </w:r>
      <w:bookmarkStart w:id="5" w:name="_Ref340822703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Yudkovsky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Ranish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JA, Hahn S. A transcription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reinitiation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intermediate that is stabilized by activator. Nature. 2000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;408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(6809):225-9.</w:t>
      </w:r>
      <w:bookmarkEnd w:id="5"/>
    </w:p>
    <w:p w:rsidR="00DC40AB" w:rsidRDefault="00B70B60" w:rsidP="00B70B60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6" w:name="_Ref330391809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Friedl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EM, Lane WS,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Erdjument-Bromage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Tempst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Reinberg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D. The C-terminal domain phosphatase and transcription elongation activities of FCP1 are regulated by phosphorylation. Proceedings of the National Academy of Sciences. 2003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;100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(5):2328.</w:t>
      </w:r>
      <w:bookmarkEnd w:id="6"/>
    </w:p>
    <w:p w:rsidR="00DC40AB" w:rsidRDefault="00B70B60" w:rsidP="00B70B60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7" w:name="_Ref330391843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Dantonel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JC, Murthy KGK, Manley JL,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Tora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L. Transcription factor TFIID recruits factor CPSF for formation of 3'end of mRNA. Nature. 1997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;389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(6649):399-402.</w:t>
      </w:r>
      <w:bookmarkEnd w:id="7"/>
    </w:p>
    <w:p w:rsidR="00DC40AB" w:rsidRDefault="00B70B60" w:rsidP="00B70B60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8" w:name="_Ref330391852"/>
      <w:r w:rsidRPr="00BD3FFC">
        <w:rPr>
          <w:rFonts w:ascii="Times New Roman" w:hAnsi="Times New Roman" w:cs="Times New Roman"/>
          <w:sz w:val="20"/>
          <w:szCs w:val="20"/>
        </w:rPr>
        <w:lastRenderedPageBreak/>
        <w:t>Wang Y, Fairley JA, Roberts SGE. Phosphorylation of TFIIB links transcription initiation and termination. Current Biology. 2010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;20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(6):548-53.</w:t>
      </w:r>
      <w:bookmarkEnd w:id="8"/>
    </w:p>
    <w:p w:rsidR="00DC40AB" w:rsidRDefault="00B70B60" w:rsidP="00B70B60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9" w:name="_Ref330391890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Orlicky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SM, Tran PT, Sayre MH, Edwards AM. Dissociable Rpb4-Rpb7 subassembly of RNA polymerase II binds to single-strand nucleic acid and mediates a post-recruitment step in transcription initiation. J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Chem. 2001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;276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(13):10097-102.</w:t>
      </w:r>
      <w:bookmarkEnd w:id="9"/>
    </w:p>
    <w:p w:rsidR="00DC40AB" w:rsidRDefault="00B70B60" w:rsidP="00DC40AB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0" w:name="_Ref340822770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Cojocaru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Jeronimo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C, Forget D, Bouchard A, Bergeron D, Cote P, et al. Genomic location of the human RNA polymerase II general machinery: Evidence for a role of TFIIF and Rpb7 at both early and late stages of transcription.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Biochem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J. 2008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;409:139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-47.</w:t>
      </w:r>
      <w:bookmarkEnd w:id="10"/>
    </w:p>
    <w:p w:rsidR="00BA0958" w:rsidRDefault="00B70B60" w:rsidP="00BA0958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1" w:name="_Ref340822797"/>
      <w:r w:rsidRPr="00BD3FFC">
        <w:rPr>
          <w:rFonts w:ascii="Times New Roman" w:hAnsi="Times New Roman" w:cs="Times New Roman"/>
          <w:sz w:val="20"/>
          <w:szCs w:val="20"/>
        </w:rPr>
        <w:t xml:space="preserve">Kimura M, Suzuki H,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Ishihama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A. Formation of a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carboxy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-terminal domain phosphatase (Fcp1)/TFIIF/RNA polymerase II (pol II) complex in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schizosaccharomyces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pombe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involves direct interaction between Fcp1 and the Rpb4 subunit of pol II.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Cell Biol. 2002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;22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(5):1577-88.</w:t>
      </w:r>
      <w:bookmarkEnd w:id="11"/>
    </w:p>
    <w:p w:rsidR="006B1D36" w:rsidRDefault="008311AE" w:rsidP="008311AE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BD3FFC">
        <w:rPr>
          <w:rFonts w:ascii="Times New Roman" w:hAnsi="Times New Roman" w:cs="Times New Roman"/>
          <w:sz w:val="20"/>
          <w:szCs w:val="20"/>
        </w:rPr>
        <w:t> </w:t>
      </w:r>
      <w:bookmarkStart w:id="12" w:name="_Ref340822806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Armache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KJ,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Mitterweger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Meinhart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A, Cramer P. Structures of complete RNA polymerase II and its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subcomplex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, Rpb4/7. J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Chem. 2005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;280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(8):7131-4.</w:t>
      </w:r>
      <w:bookmarkEnd w:id="12"/>
    </w:p>
    <w:p w:rsidR="003359ED" w:rsidRDefault="00D87603" w:rsidP="00D87603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3" w:name="_Ref330391990"/>
      <w:r w:rsidRPr="00BD3FFC">
        <w:rPr>
          <w:rFonts w:ascii="Times New Roman" w:hAnsi="Times New Roman" w:cs="Times New Roman"/>
          <w:sz w:val="20"/>
          <w:szCs w:val="20"/>
        </w:rPr>
        <w:t xml:space="preserve">Sakurai H,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Mitsuzawa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H, Kimura M,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Ishihama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A. The Rpb4 subunit of fission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YeastSchizosaccharomyces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pombe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RNA polymerase II is essential for cell viability and similar in structure to the corresponding subunits of higher eukaryotes.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Cell Biol. 1999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;19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(11):7511-8.</w:t>
      </w:r>
      <w:bookmarkEnd w:id="13"/>
    </w:p>
    <w:p w:rsidR="006B57D9" w:rsidRDefault="00EB1B84" w:rsidP="006B57D9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4" w:name="_Ref340822822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Ghosh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A, Shuman S, Lima CD. The structure of Fcp1, an essential RNA polymerase II CTD phosphatase.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Cell. 2008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;32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(4):478-90.</w:t>
      </w:r>
      <w:bookmarkEnd w:id="14"/>
    </w:p>
    <w:p w:rsidR="003D79C3" w:rsidRDefault="00BF74A9" w:rsidP="00CC1D4D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hyperlink r:id="rId7" w:history="1">
        <w:bookmarkStart w:id="15" w:name="_Ref330392033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</w:t>
        </w:r>
        <w:bookmarkStart w:id="16" w:name="_Ref340822833"/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Kobor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MS,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Archambault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J, Lester W,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Holstege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FCP,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Gileadi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O,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Jansma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DB, et al. An unusual eukaryotic protein phosphatase required for transcription by RNA polymerase II and CTD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dephosphorylation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in&lt;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i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&gt; S.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cerevisiae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>&lt;/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i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&gt;. </w:t>
        </w:r>
        <w:proofErr w:type="spellStart"/>
        <w:r w:rsidR="00CC1D4D" w:rsidRPr="00BD3FFC">
          <w:rPr>
            <w:rFonts w:ascii="Times New Roman" w:hAnsi="Times New Roman" w:cs="Times New Roman"/>
            <w:sz w:val="20"/>
            <w:szCs w:val="20"/>
          </w:rPr>
          <w:t>Mol</w:t>
        </w:r>
        <w:proofErr w:type="spellEnd"/>
        <w:r w:rsidR="00CC1D4D" w:rsidRPr="00BD3FFC">
          <w:rPr>
            <w:rFonts w:ascii="Times New Roman" w:hAnsi="Times New Roman" w:cs="Times New Roman"/>
            <w:sz w:val="20"/>
            <w:szCs w:val="20"/>
          </w:rPr>
          <w:t xml:space="preserve"> Cell. 1999</w:t>
        </w:r>
        <w:proofErr w:type="gramStart"/>
        <w:r w:rsidR="00CC1D4D" w:rsidRPr="00BD3FFC">
          <w:rPr>
            <w:rFonts w:ascii="Times New Roman" w:hAnsi="Times New Roman" w:cs="Times New Roman"/>
            <w:sz w:val="20"/>
            <w:szCs w:val="20"/>
          </w:rPr>
          <w:t>;4</w:t>
        </w:r>
        <w:proofErr w:type="gramEnd"/>
        <w:r w:rsidR="00CC1D4D" w:rsidRPr="00BD3FFC">
          <w:rPr>
            <w:rFonts w:ascii="Times New Roman" w:hAnsi="Times New Roman" w:cs="Times New Roman"/>
            <w:sz w:val="20"/>
            <w:szCs w:val="20"/>
          </w:rPr>
          <w:t>(1):55-62.</w:t>
        </w:r>
        <w:bookmarkEnd w:id="15"/>
        <w:bookmarkEnd w:id="16"/>
      </w:hyperlink>
    </w:p>
    <w:p w:rsidR="00EF3C79" w:rsidRDefault="00CC1D4D" w:rsidP="00EF3C79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7" w:name="_Ref340822902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Kamenski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Heilmeier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Meinhart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A, Cramer P. Structure and mechanism of RNA polymerase II CTD phosphatases.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Cell. 2004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;15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(3):399-407.</w:t>
      </w:r>
      <w:bookmarkEnd w:id="17"/>
    </w:p>
    <w:p w:rsidR="008A4F78" w:rsidRPr="008A4F78" w:rsidRDefault="00CC1D4D" w:rsidP="008A4F78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8" w:name="_Ref340822915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Kobor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MS, Simon LD,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Omichinski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Zhong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G,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Archambault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J, Greenblatt J. A motif shared by TFIIF and TFIIB mediates their interaction with the RNA polymerase II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carboxy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-terminal domain phosphatase Fcp1p in saccharomyces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cerevisiae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Cell Biol. 2000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;20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(20):7438-49.</w:t>
      </w:r>
      <w:bookmarkEnd w:id="18"/>
    </w:p>
    <w:p w:rsidR="00DC40AB" w:rsidRDefault="00CC1D4D" w:rsidP="00CC1D4D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19" w:name="_Ref330539966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Phatnani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HP, Greenleaf AL. Phosphorylation and functions of the RNA polymerase II CTD. Genes Dev. 2006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;20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(21):2922-36.</w:t>
      </w:r>
      <w:bookmarkEnd w:id="19"/>
    </w:p>
    <w:p w:rsidR="00861ACC" w:rsidRDefault="00137F3F" w:rsidP="00137F3F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20" w:name="_Ref330392214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Egloff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S, Murphy S. Cracking the RNA polymerase II CTD code. Trends in Genetics. 2008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;24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(6):280-8.</w:t>
      </w:r>
      <w:bookmarkEnd w:id="20"/>
    </w:p>
    <w:p w:rsidR="00DC40AB" w:rsidRPr="00BD3FFC" w:rsidRDefault="00137F3F" w:rsidP="00BD3FFC">
      <w:pPr>
        <w:pStyle w:val="ListParagraph"/>
        <w:numPr>
          <w:ilvl w:val="0"/>
          <w:numId w:val="9"/>
        </w:numPr>
        <w:bidi w:val="0"/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bookmarkStart w:id="21" w:name="_Ref330392243"/>
      <w:proofErr w:type="spellStart"/>
      <w:r w:rsidRPr="00BD3FFC">
        <w:rPr>
          <w:rFonts w:ascii="Times New Roman" w:hAnsi="Times New Roman" w:cs="Times New Roman"/>
          <w:sz w:val="20"/>
          <w:szCs w:val="20"/>
        </w:rPr>
        <w:t>Svejstrup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JQ. The RNA polymerase II transcription cycle: Cycling through chromatin.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Biochimica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Biophysica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3FFC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Pr="00BD3FFC">
        <w:rPr>
          <w:rFonts w:ascii="Times New Roman" w:hAnsi="Times New Roman" w:cs="Times New Roman"/>
          <w:sz w:val="20"/>
          <w:szCs w:val="20"/>
        </w:rPr>
        <w:t xml:space="preserve"> (BBA)-Gene Structure and Expression. 2004</w:t>
      </w:r>
      <w:proofErr w:type="gramStart"/>
      <w:r w:rsidRPr="00BD3FFC">
        <w:rPr>
          <w:rFonts w:ascii="Times New Roman" w:hAnsi="Times New Roman" w:cs="Times New Roman"/>
          <w:sz w:val="20"/>
          <w:szCs w:val="20"/>
        </w:rPr>
        <w:t>;1677</w:t>
      </w:r>
      <w:proofErr w:type="gramEnd"/>
      <w:r w:rsidRPr="00BD3FFC">
        <w:rPr>
          <w:rFonts w:ascii="Times New Roman" w:hAnsi="Times New Roman" w:cs="Times New Roman"/>
          <w:sz w:val="20"/>
          <w:szCs w:val="20"/>
        </w:rPr>
        <w:t>(1-3):64-73.</w:t>
      </w:r>
      <w:bookmarkEnd w:id="21"/>
    </w:p>
    <w:sectPr w:rsidR="00DC40AB" w:rsidRPr="00BD3FFC" w:rsidSect="00DF2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38B"/>
    <w:multiLevelType w:val="hybridMultilevel"/>
    <w:tmpl w:val="32CA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B4BB2"/>
    <w:multiLevelType w:val="hybridMultilevel"/>
    <w:tmpl w:val="8648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4BC5"/>
    <w:multiLevelType w:val="hybridMultilevel"/>
    <w:tmpl w:val="86B44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968DD"/>
    <w:multiLevelType w:val="hybridMultilevel"/>
    <w:tmpl w:val="D4EE3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99034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2DF59AB"/>
    <w:multiLevelType w:val="hybridMultilevel"/>
    <w:tmpl w:val="EFC4B0DE"/>
    <w:lvl w:ilvl="0" w:tplc="3086F6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F"/>
    <w:rsid w:val="000120BA"/>
    <w:rsid w:val="000E29F7"/>
    <w:rsid w:val="000F67F1"/>
    <w:rsid w:val="00121906"/>
    <w:rsid w:val="00137F3F"/>
    <w:rsid w:val="00166C0C"/>
    <w:rsid w:val="00194B63"/>
    <w:rsid w:val="001B4618"/>
    <w:rsid w:val="001F44BA"/>
    <w:rsid w:val="00202B3D"/>
    <w:rsid w:val="00230139"/>
    <w:rsid w:val="00237C29"/>
    <w:rsid w:val="002429A3"/>
    <w:rsid w:val="002648AA"/>
    <w:rsid w:val="002846BA"/>
    <w:rsid w:val="00291BE8"/>
    <w:rsid w:val="00291FAD"/>
    <w:rsid w:val="00295818"/>
    <w:rsid w:val="002D6292"/>
    <w:rsid w:val="002F1890"/>
    <w:rsid w:val="00305249"/>
    <w:rsid w:val="003359ED"/>
    <w:rsid w:val="00364DCD"/>
    <w:rsid w:val="003829CC"/>
    <w:rsid w:val="00386242"/>
    <w:rsid w:val="003B0BE7"/>
    <w:rsid w:val="003B3CB0"/>
    <w:rsid w:val="003D04C2"/>
    <w:rsid w:val="003D79C3"/>
    <w:rsid w:val="00415FF9"/>
    <w:rsid w:val="00441EF5"/>
    <w:rsid w:val="00446AC1"/>
    <w:rsid w:val="004852DE"/>
    <w:rsid w:val="004A0ED3"/>
    <w:rsid w:val="004A73E3"/>
    <w:rsid w:val="004C0271"/>
    <w:rsid w:val="004F3AE1"/>
    <w:rsid w:val="0050699A"/>
    <w:rsid w:val="005146AB"/>
    <w:rsid w:val="00520DF4"/>
    <w:rsid w:val="00542B52"/>
    <w:rsid w:val="00577343"/>
    <w:rsid w:val="00582D1D"/>
    <w:rsid w:val="00587F3D"/>
    <w:rsid w:val="005926CD"/>
    <w:rsid w:val="006228C1"/>
    <w:rsid w:val="00627755"/>
    <w:rsid w:val="006A2F22"/>
    <w:rsid w:val="006B1D36"/>
    <w:rsid w:val="006B57D9"/>
    <w:rsid w:val="006E07A1"/>
    <w:rsid w:val="006E7526"/>
    <w:rsid w:val="007A3B27"/>
    <w:rsid w:val="00814D2D"/>
    <w:rsid w:val="008311AE"/>
    <w:rsid w:val="00833500"/>
    <w:rsid w:val="00861ACC"/>
    <w:rsid w:val="008A4A7E"/>
    <w:rsid w:val="008A4F78"/>
    <w:rsid w:val="008D6DC3"/>
    <w:rsid w:val="009022F9"/>
    <w:rsid w:val="009260EA"/>
    <w:rsid w:val="009E3DB7"/>
    <w:rsid w:val="009E4C8D"/>
    <w:rsid w:val="00A00577"/>
    <w:rsid w:val="00A0716A"/>
    <w:rsid w:val="00A34E11"/>
    <w:rsid w:val="00A42E59"/>
    <w:rsid w:val="00A73247"/>
    <w:rsid w:val="00AB3FCD"/>
    <w:rsid w:val="00AC5DC5"/>
    <w:rsid w:val="00AE1067"/>
    <w:rsid w:val="00AE2DAB"/>
    <w:rsid w:val="00B114AA"/>
    <w:rsid w:val="00B23A73"/>
    <w:rsid w:val="00B30C7A"/>
    <w:rsid w:val="00B41736"/>
    <w:rsid w:val="00B63BC1"/>
    <w:rsid w:val="00B70B60"/>
    <w:rsid w:val="00B76673"/>
    <w:rsid w:val="00B93BC2"/>
    <w:rsid w:val="00BA0958"/>
    <w:rsid w:val="00BD2325"/>
    <w:rsid w:val="00BD3FFC"/>
    <w:rsid w:val="00BD504F"/>
    <w:rsid w:val="00BF74A9"/>
    <w:rsid w:val="00C04ACB"/>
    <w:rsid w:val="00C25257"/>
    <w:rsid w:val="00C33D33"/>
    <w:rsid w:val="00C358D7"/>
    <w:rsid w:val="00C5233A"/>
    <w:rsid w:val="00C72A01"/>
    <w:rsid w:val="00CA1FF4"/>
    <w:rsid w:val="00CC1D4D"/>
    <w:rsid w:val="00CF5FF0"/>
    <w:rsid w:val="00D25449"/>
    <w:rsid w:val="00D61531"/>
    <w:rsid w:val="00D8464E"/>
    <w:rsid w:val="00D87603"/>
    <w:rsid w:val="00D87652"/>
    <w:rsid w:val="00DA5A28"/>
    <w:rsid w:val="00DA7034"/>
    <w:rsid w:val="00DB0DD4"/>
    <w:rsid w:val="00DC40AB"/>
    <w:rsid w:val="00DC5F87"/>
    <w:rsid w:val="00DF2CDE"/>
    <w:rsid w:val="00E00E74"/>
    <w:rsid w:val="00E01509"/>
    <w:rsid w:val="00E11C1A"/>
    <w:rsid w:val="00E35CC2"/>
    <w:rsid w:val="00E374D2"/>
    <w:rsid w:val="00E45A9F"/>
    <w:rsid w:val="00E72BCD"/>
    <w:rsid w:val="00E84039"/>
    <w:rsid w:val="00E84346"/>
    <w:rsid w:val="00EA33D2"/>
    <w:rsid w:val="00EA7025"/>
    <w:rsid w:val="00EB1B84"/>
    <w:rsid w:val="00EC3558"/>
    <w:rsid w:val="00EE35C5"/>
    <w:rsid w:val="00EE6452"/>
    <w:rsid w:val="00EF3C79"/>
    <w:rsid w:val="00EF44F3"/>
    <w:rsid w:val="00EF617D"/>
    <w:rsid w:val="00F17126"/>
    <w:rsid w:val="00F273A2"/>
    <w:rsid w:val="00F73808"/>
    <w:rsid w:val="00F73EEF"/>
    <w:rsid w:val="00F86DD1"/>
    <w:rsid w:val="00FC0528"/>
    <w:rsid w:val="00FC24A1"/>
    <w:rsid w:val="00FD40A3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E45A9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A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5A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5A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5A9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5A9F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45A9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45A9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45A9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A9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A9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5A9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5A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5A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5A9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45A9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A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45A9F"/>
    <w:rPr>
      <w:rFonts w:ascii="Cambria" w:eastAsia="Times New Roman" w:hAnsi="Cambria" w:cs="Times New Roman"/>
    </w:rPr>
  </w:style>
  <w:style w:type="table" w:styleId="TableGrid">
    <w:name w:val="Table Grid"/>
    <w:basedOn w:val="TableNormal"/>
    <w:rsid w:val="00E45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45A9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BodyText">
    <w:name w:val="Body Text"/>
    <w:basedOn w:val="Normal"/>
    <w:link w:val="BodyTextChar"/>
    <w:rsid w:val="005146AB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he-IL"/>
    </w:rPr>
  </w:style>
  <w:style w:type="character" w:customStyle="1" w:styleId="BodyTextChar">
    <w:name w:val="Body Text Char"/>
    <w:basedOn w:val="DefaultParagraphFont"/>
    <w:link w:val="BodyText"/>
    <w:rsid w:val="005146AB"/>
    <w:rPr>
      <w:rFonts w:ascii="Times New Roman" w:eastAsia="Times New Roman" w:hAnsi="Times New Roman" w:cs="Times New Roman"/>
      <w:snapToGrid w:val="0"/>
      <w:sz w:val="16"/>
      <w:szCs w:val="16"/>
      <w:lang w:eastAsia="he-IL"/>
    </w:rPr>
  </w:style>
  <w:style w:type="paragraph" w:styleId="Title">
    <w:name w:val="Title"/>
    <w:basedOn w:val="Normal"/>
    <w:link w:val="TitleChar"/>
    <w:qFormat/>
    <w:rsid w:val="00AC5DC5"/>
    <w:pPr>
      <w:bidi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C5DC5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customStyle="1" w:styleId="Addresses">
    <w:name w:val="Addresses"/>
    <w:basedOn w:val="Normal"/>
    <w:rsid w:val="00AC5DC5"/>
    <w:pPr>
      <w:overflowPunct w:val="0"/>
      <w:autoSpaceDE w:val="0"/>
      <w:autoSpaceDN w:val="0"/>
      <w:bidi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FE11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A73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F1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E45A9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A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5A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5A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5A9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5A9F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45A9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45A9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45A9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A9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5A9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5A9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5A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5A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5A9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45A9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5A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45A9F"/>
    <w:rPr>
      <w:rFonts w:ascii="Cambria" w:eastAsia="Times New Roman" w:hAnsi="Cambria" w:cs="Times New Roman"/>
    </w:rPr>
  </w:style>
  <w:style w:type="table" w:styleId="TableGrid">
    <w:name w:val="Table Grid"/>
    <w:basedOn w:val="TableNormal"/>
    <w:rsid w:val="00E45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45A9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BodyText">
    <w:name w:val="Body Text"/>
    <w:basedOn w:val="Normal"/>
    <w:link w:val="BodyTextChar"/>
    <w:rsid w:val="005146AB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he-IL"/>
    </w:rPr>
  </w:style>
  <w:style w:type="character" w:customStyle="1" w:styleId="BodyTextChar">
    <w:name w:val="Body Text Char"/>
    <w:basedOn w:val="DefaultParagraphFont"/>
    <w:link w:val="BodyText"/>
    <w:rsid w:val="005146AB"/>
    <w:rPr>
      <w:rFonts w:ascii="Times New Roman" w:eastAsia="Times New Roman" w:hAnsi="Times New Roman" w:cs="Times New Roman"/>
      <w:snapToGrid w:val="0"/>
      <w:sz w:val="16"/>
      <w:szCs w:val="16"/>
      <w:lang w:eastAsia="he-IL"/>
    </w:rPr>
  </w:style>
  <w:style w:type="paragraph" w:styleId="Title">
    <w:name w:val="Title"/>
    <w:basedOn w:val="Normal"/>
    <w:link w:val="TitleChar"/>
    <w:qFormat/>
    <w:rsid w:val="00AC5DC5"/>
    <w:pPr>
      <w:bidi w:val="0"/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C5DC5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customStyle="1" w:styleId="Addresses">
    <w:name w:val="Addresses"/>
    <w:basedOn w:val="Normal"/>
    <w:rsid w:val="00AC5DC5"/>
    <w:pPr>
      <w:overflowPunct w:val="0"/>
      <w:autoSpaceDE w:val="0"/>
      <w:autoSpaceDN w:val="0"/>
      <w:bidi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FE11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A73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F1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?_ob=PublicationURL&amp;_tockey=%23TOC%237053%231999%23999959998%23211428%23FLA%23&amp;_cdi=7053&amp;_pubType=J&amp;view=c&amp;_auth=y&amp;_acct=C000228598&amp;_version=1&amp;_urlVersion=0&amp;_userid=10&amp;md5=bdd281fab4ecba4216a629d6c54009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2C1B-FF0E-4868-8BA2-080E1AD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1808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Somech</dc:creator>
  <cp:lastModifiedBy>Judith Somekh</cp:lastModifiedBy>
  <cp:revision>32</cp:revision>
  <dcterms:created xsi:type="dcterms:W3CDTF">2012-11-11T17:15:00Z</dcterms:created>
  <dcterms:modified xsi:type="dcterms:W3CDTF">2012-11-16T07:54:00Z</dcterms:modified>
</cp:coreProperties>
</file>