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  <w:b/>
          <w:bCs/>
        </w:rPr>
        <w:t xml:space="preserve">Validation of the GSH and </w:t>
      </w:r>
      <w:r w:rsidRPr="006A760F">
        <w:rPr>
          <w:rFonts w:ascii="Times New Roman" w:hAnsi="Times New Roman" w:cs="Times New Roman"/>
          <w:b/>
          <w:bCs/>
        </w:rPr>
        <w:sym w:font="Symbol" w:char="F067"/>
      </w:r>
      <w:r w:rsidR="006A760F">
        <w:rPr>
          <w:rFonts w:ascii="Times New Roman" w:hAnsi="Times New Roman" w:cs="Times New Roman"/>
          <w:b/>
          <w:bCs/>
        </w:rPr>
        <w:t>-GC detection methods</w:t>
      </w:r>
      <w:bookmarkStart w:id="0" w:name="_GoBack"/>
      <w:bookmarkEnd w:id="0"/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>The column efficiency was determined as N=5.545(RT/W</w:t>
      </w:r>
      <w:r w:rsidRPr="006A760F">
        <w:rPr>
          <w:rFonts w:ascii="Times New Roman" w:hAnsi="Times New Roman" w:cs="Times New Roman"/>
          <w:vertAlign w:val="subscript"/>
        </w:rPr>
        <w:t>h/2</w:t>
      </w:r>
      <w:r w:rsidRPr="006A760F">
        <w:rPr>
          <w:rFonts w:ascii="Times New Roman" w:hAnsi="Times New Roman" w:cs="Times New Roman"/>
        </w:rPr>
        <w:t>)</w:t>
      </w:r>
      <w:r w:rsidRPr="006A760F">
        <w:rPr>
          <w:rFonts w:ascii="Times New Roman" w:hAnsi="Times New Roman" w:cs="Times New Roman"/>
          <w:vertAlign w:val="superscript"/>
        </w:rPr>
        <w:t>2</w:t>
      </w:r>
      <w:r w:rsidRPr="006A760F">
        <w:rPr>
          <w:rFonts w:ascii="Times New Roman" w:hAnsi="Times New Roman" w:cs="Times New Roman"/>
        </w:rPr>
        <w:t>, where N is a separation efficiency (theoretical plates), RT is a retention time and W</w:t>
      </w:r>
      <w:r w:rsidRPr="006A760F">
        <w:rPr>
          <w:rFonts w:ascii="Times New Roman" w:hAnsi="Times New Roman" w:cs="Times New Roman"/>
          <w:vertAlign w:val="subscript"/>
        </w:rPr>
        <w:t xml:space="preserve">h/2 </w:t>
      </w:r>
      <w:r w:rsidRPr="006A760F">
        <w:rPr>
          <w:rFonts w:ascii="Times New Roman" w:hAnsi="Times New Roman" w:cs="Times New Roman"/>
        </w:rPr>
        <w:t xml:space="preserve">is a peak width at a half-height.  The efficiency was 8370 for GSH, 9849 for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>-GC and 15469 for L-methionine.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 xml:space="preserve">The retention time and peak area repeatability was measured by 10 repetitive injections of 10 </w:t>
      </w:r>
      <w:r w:rsidRPr="006A760F">
        <w:rPr>
          <w:rFonts w:ascii="Times New Roman" w:hAnsi="Times New Roman" w:cs="Times New Roman"/>
        </w:rPr>
        <w:sym w:font="Symbol" w:char="F06D"/>
      </w:r>
      <w:r w:rsidRPr="006A760F">
        <w:rPr>
          <w:rFonts w:ascii="Times New Roman" w:hAnsi="Times New Roman" w:cs="Times New Roman"/>
        </w:rPr>
        <w:t xml:space="preserve">M GSH, 2 </w:t>
      </w:r>
      <w:r w:rsidRPr="006A760F">
        <w:rPr>
          <w:rFonts w:ascii="Times New Roman" w:hAnsi="Times New Roman" w:cs="Times New Roman"/>
        </w:rPr>
        <w:sym w:font="Symbol" w:char="F06D"/>
      </w:r>
      <w:r w:rsidRPr="006A760F">
        <w:rPr>
          <w:rFonts w:ascii="Times New Roman" w:hAnsi="Times New Roman" w:cs="Times New Roman"/>
        </w:rPr>
        <w:t xml:space="preserve">M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 xml:space="preserve">-GC and 5 </w:t>
      </w:r>
      <w:r w:rsidRPr="006A760F">
        <w:rPr>
          <w:rFonts w:ascii="Times New Roman" w:hAnsi="Times New Roman" w:cs="Times New Roman"/>
        </w:rPr>
        <w:sym w:font="Symbol" w:char="F06D"/>
      </w:r>
      <w:r w:rsidRPr="006A760F">
        <w:rPr>
          <w:rFonts w:ascii="Times New Roman" w:hAnsi="Times New Roman" w:cs="Times New Roman"/>
        </w:rPr>
        <w:t xml:space="preserve">M L-methionine standards.  The coefficient of variation (CV) of peak area was 0.23, 0.34 and 0.41% for GSH,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 xml:space="preserve">-GC and L-methionine standards, respectively.  The CV of retention time was 0.18, 0.19 and 0.21% for GSH,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>-GC and L-methionine, respectively.</w:t>
      </w:r>
    </w:p>
    <w:p w:rsidR="00623ED1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 xml:space="preserve">Concentration standards 0.1, 0.3, 1, 3, 10 and 30 </w:t>
      </w:r>
      <w:r w:rsidRPr="006A760F">
        <w:rPr>
          <w:rFonts w:ascii="Times New Roman" w:hAnsi="Times New Roman" w:cs="Times New Roman"/>
        </w:rPr>
        <w:sym w:font="Symbol" w:char="F06D"/>
      </w:r>
      <w:r w:rsidRPr="006A760F">
        <w:rPr>
          <w:rFonts w:ascii="Times New Roman" w:hAnsi="Times New Roman" w:cs="Times New Roman"/>
        </w:rPr>
        <w:t xml:space="preserve">M of GSH,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>-GC and L-methionine were used to generate calibration curves, which were linear in this range (0.1-30 µM). Linear relationship between the peak area (y) an</w:t>
      </w:r>
      <w:r w:rsidR="00623ED1" w:rsidRPr="006A760F">
        <w:rPr>
          <w:rFonts w:ascii="Times New Roman" w:hAnsi="Times New Roman" w:cs="Times New Roman"/>
        </w:rPr>
        <w:t>d concentration standard (x) was</w:t>
      </w:r>
      <w:r w:rsidRPr="006A760F">
        <w:rPr>
          <w:rFonts w:ascii="Times New Roman" w:hAnsi="Times New Roman" w:cs="Times New Roman"/>
        </w:rPr>
        <w:t xml:space="preserve">: y = 3.006x + 0.002025 for GSH; y = 2.817x – 0.000645 for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 xml:space="preserve">-GC; y = 1.465x + 0.000125 for L-methionine.  Coefficient of determination was &gt;0.999. 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 xml:space="preserve">The limit of detection for GSH and γ-GC was 30 fmol per 10 µl injection at a signal-to-noise ratio of 3. 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 xml:space="preserve">The recovery of GSH in the extract spiked with 3 and 10 </w:t>
      </w:r>
      <w:r w:rsidRPr="006A760F">
        <w:rPr>
          <w:rFonts w:ascii="Times New Roman" w:hAnsi="Times New Roman" w:cs="Times New Roman"/>
        </w:rPr>
        <w:sym w:font="Symbol" w:char="F06D"/>
      </w:r>
      <w:r w:rsidRPr="006A760F">
        <w:rPr>
          <w:rFonts w:ascii="Times New Roman" w:hAnsi="Times New Roman" w:cs="Times New Roman"/>
        </w:rPr>
        <w:t>M of the GSH standard was 98.6% and 101.3%, respectively.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 xml:space="preserve">The reaction mixture for the GCL assay contained 5 mM cysteine​​, which produced a high signal and caused variations in the electrode responsiveness at +750 mV.  Precision of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 xml:space="preserve">-GC detection was improved with introduction of L-methionine as an internal standard.  The calibration curve for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 xml:space="preserve">-GC detection in the GCL activity assay reaction mix was generated using 1, 2, 3 and 4 </w:t>
      </w:r>
      <w:r w:rsidRPr="006A760F">
        <w:rPr>
          <w:rFonts w:ascii="Times New Roman" w:hAnsi="Times New Roman" w:cs="Times New Roman"/>
        </w:rPr>
        <w:sym w:font="Symbol" w:char="F06D"/>
      </w:r>
      <w:r w:rsidRPr="006A760F">
        <w:rPr>
          <w:rFonts w:ascii="Times New Roman" w:hAnsi="Times New Roman" w:cs="Times New Roman"/>
        </w:rPr>
        <w:t xml:space="preserve">M of the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 xml:space="preserve">-GC standards and 5 </w:t>
      </w:r>
      <w:r w:rsidRPr="006A760F">
        <w:rPr>
          <w:rFonts w:ascii="Times New Roman" w:hAnsi="Times New Roman" w:cs="Times New Roman"/>
        </w:rPr>
        <w:sym w:font="Symbol" w:char="F06D"/>
      </w:r>
      <w:r w:rsidRPr="006A760F">
        <w:rPr>
          <w:rFonts w:ascii="Times New Roman" w:hAnsi="Times New Roman" w:cs="Times New Roman"/>
        </w:rPr>
        <w:t xml:space="preserve">M L-methionine as an internal standard and was linear in this range.  It resulted in equation y=0.385x –0.006227, where y is a ratio of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 xml:space="preserve">-GC standard area to internal standard (L methionine) area, and x is an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>-GC standard concentration. Coefficient of determination was =0.9997.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 xml:space="preserve">The intra-assay precision of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>-GC detection was determined in a single run of 6 replicates of the same reaction mixture.  The CV was 3%.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 xml:space="preserve">The inter-assay precision of </w:t>
      </w:r>
      <w:r w:rsidRPr="006A760F">
        <w:rPr>
          <w:rFonts w:ascii="Times New Roman" w:hAnsi="Times New Roman" w:cs="Times New Roman"/>
        </w:rPr>
        <w:sym w:font="Symbol" w:char="F067"/>
      </w:r>
      <w:r w:rsidRPr="006A760F">
        <w:rPr>
          <w:rFonts w:ascii="Times New Roman" w:hAnsi="Times New Roman" w:cs="Times New Roman"/>
        </w:rPr>
        <w:t>-GC detection was determined by analyzing the same reaction mixture on 3 different days over the week.  The CV was 4.8%.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  <w:b/>
          <w:bCs/>
        </w:rPr>
        <w:t>Improvement of GSH detection in fly heads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>Extracts from different tissues have different constituents and may contain analytes co-eluting with GSH a</w:t>
      </w:r>
      <w:r w:rsidR="00623ED1" w:rsidRPr="006A760F">
        <w:rPr>
          <w:rFonts w:ascii="Times New Roman" w:hAnsi="Times New Roman" w:cs="Times New Roman"/>
        </w:rPr>
        <w:t xml:space="preserve">nd thus compromising analysis, </w:t>
      </w:r>
      <w:r w:rsidRPr="006A760F">
        <w:rPr>
          <w:rFonts w:ascii="Times New Roman" w:hAnsi="Times New Roman" w:cs="Times New Roman"/>
        </w:rPr>
        <w:t>Alkylated GSH is not electrochemically active. After treatment of fly head extracts with alkylating agent, NEM, we found that the area of the peak where GSH is normally eluted contains 3-4% of other analytes. Consequently, the contribution of contaminating analytes was subtracted to obtain accurate GSH values.</w:t>
      </w:r>
    </w:p>
    <w:p w:rsidR="006616A4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>The intra-assay precision of GSH detection was determined in a single run of 6 replicates of the same extract (NEM treated and untreated).  The CV was 1.15%.</w:t>
      </w:r>
    </w:p>
    <w:p w:rsidR="00A44D89" w:rsidRPr="006A760F" w:rsidRDefault="006616A4" w:rsidP="006616A4">
      <w:pPr>
        <w:spacing w:line="240" w:lineRule="auto"/>
        <w:rPr>
          <w:rFonts w:ascii="Times New Roman" w:hAnsi="Times New Roman" w:cs="Times New Roman"/>
        </w:rPr>
      </w:pPr>
      <w:r w:rsidRPr="006A760F">
        <w:rPr>
          <w:rFonts w:ascii="Times New Roman" w:hAnsi="Times New Roman" w:cs="Times New Roman"/>
        </w:rPr>
        <w:t>The inter-assay precision of GSH detection was determined by analyzing the same extract on 3 different days over the week.  The CV was 3.9%.</w:t>
      </w:r>
    </w:p>
    <w:sectPr w:rsidR="00A44D89" w:rsidRPr="006A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A4"/>
    <w:rsid w:val="00623ED1"/>
    <w:rsid w:val="006616A4"/>
    <w:rsid w:val="006A760F"/>
    <w:rsid w:val="00A44D89"/>
    <w:rsid w:val="00D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Giebultowicz, Jaga</dc:creator>
  <cp:lastModifiedBy>Giebultowicz, Jaga</cp:lastModifiedBy>
  <cp:revision>4</cp:revision>
  <dcterms:created xsi:type="dcterms:W3CDTF">2012-11-02T21:14:00Z</dcterms:created>
  <dcterms:modified xsi:type="dcterms:W3CDTF">2012-11-02T21:32:00Z</dcterms:modified>
</cp:coreProperties>
</file>