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7E" w:rsidRPr="00E0677E" w:rsidRDefault="00E0677E" w:rsidP="00E0677E">
      <w:pPr>
        <w:rPr>
          <w:noProof/>
          <w:sz w:val="24"/>
        </w:rPr>
      </w:pPr>
      <w:r w:rsidRPr="00E0677E">
        <w:rPr>
          <w:rFonts w:hint="eastAsia"/>
          <w:b/>
          <w:bCs/>
          <w:noProof/>
          <w:sz w:val="24"/>
        </w:rPr>
        <w:t>Table S1. Primers used in this study</w:t>
      </w:r>
      <w:bookmarkStart w:id="0" w:name="_GoBack"/>
      <w:bookmarkEnd w:id="0"/>
    </w:p>
    <w:p w:rsidR="00E0677E" w:rsidRDefault="00E0677E">
      <w:pPr>
        <w:rPr>
          <w:rFonts w:hint="eastAsia"/>
          <w:noProof/>
        </w:rPr>
      </w:pPr>
    </w:p>
    <w:tbl>
      <w:tblPr>
        <w:tblW w:w="7496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3300"/>
        <w:gridCol w:w="2440"/>
      </w:tblGrid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Sequence (5’-3’)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used </w:t>
            </w: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Ori14-up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ATGATCGGTGATCCTG 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Operator hybrid</w:t>
            </w: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Ori14-down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CAGGATCACCGATCAT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-up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TTGTTAGTCATAACTAACAA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-down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TTGTTAGTTATGACTAACAA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*-up 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TTGTTAGTCATAACT</w:t>
            </w: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/>
              </w:rPr>
              <w:t>C</w:t>
            </w: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ACAA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*-down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TTGT</w:t>
            </w: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/>
              </w:rPr>
              <w:t>G</w:t>
            </w: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AGTTATGACTAACAA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pHL355-RM-F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TTCACACAGGAAACAGAATTC 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Cnu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mutagenesis</w:t>
            </w: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pHL355-RM-B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CATCCGCCAAAACAGAAGCTT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ftsZ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TGGAACTTACCAATGACGC 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RT-PCR </w:t>
            </w:r>
            <w:r w:rsidRPr="00E0677E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ftsZ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CCAACCGCTGTTTTACG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minE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ATGGCATTACTCGATTTCTTTC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minE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GAATATCTTTACGCAACTGCG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minD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GCATTATTGTTGTTACTTCGG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minD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TAATCAGGTCGAGATTACGC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CAAACACGCCAATCGAG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minC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ACTGACGTTGAGTACAACGG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sfiA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GCGTCATCATGGGCTG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sfiA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ATGTACACTTCAGGCTATGCAC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dicB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ATGAAAACGTTATTACCAAACG 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RT-PCR and Real-Time-</w:t>
            </w: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qPCR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dicB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GTAAACGAGCCAGCATTG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dicA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GGAAACAAAAAATTTAACTATCG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dicA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TCACTATCACCCCGTTCC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dicC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-RT-F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CTTAAAACTGACGCTCTTTTGT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0677E" w:rsidRPr="00E0677E" w:rsidTr="00E0677E">
        <w:trPr>
          <w:trHeight w:val="330"/>
          <w:jc w:val="center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dicC</w:t>
            </w:r>
            <w:proofErr w:type="spellEnd"/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-RT-B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067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GATGCCTCCTGTAGACGC 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77E" w:rsidRPr="00E0677E" w:rsidRDefault="00E0677E" w:rsidP="00E067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0677E" w:rsidRDefault="00E0677E"/>
    <w:sectPr w:rsidR="00E067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7E"/>
    <w:rsid w:val="005C700C"/>
    <w:rsid w:val="007A6F3E"/>
    <w:rsid w:val="00C94771"/>
    <w:rsid w:val="00E0677E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7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67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7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6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YunSH</dc:creator>
  <cp:lastModifiedBy>YunSH</cp:lastModifiedBy>
  <cp:revision>1</cp:revision>
  <dcterms:created xsi:type="dcterms:W3CDTF">2011-11-08T01:46:00Z</dcterms:created>
  <dcterms:modified xsi:type="dcterms:W3CDTF">2011-11-08T01:47:00Z</dcterms:modified>
</cp:coreProperties>
</file>