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1" w:rsidRDefault="00FD5081" w:rsidP="00FD5081">
      <w:pPr>
        <w:spacing w:before="240" w:line="360" w:lineRule="auto"/>
        <w:jc w:val="both"/>
        <w:rPr>
          <w:b/>
        </w:rPr>
      </w:pPr>
      <w:r>
        <w:rPr>
          <w:b/>
        </w:rPr>
        <w:t>Table S1.</w:t>
      </w:r>
      <w:r w:rsidRPr="003843A7">
        <w:rPr>
          <w:b/>
        </w:rPr>
        <w:t xml:space="preserve"> </w:t>
      </w:r>
      <w:r w:rsidRPr="00081033">
        <w:rPr>
          <w:b/>
        </w:rPr>
        <w:t>Descriptive data of herds identified as whole herd slaughters.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69"/>
        <w:gridCol w:w="1327"/>
        <w:gridCol w:w="1327"/>
        <w:gridCol w:w="822"/>
        <w:gridCol w:w="822"/>
        <w:gridCol w:w="1327"/>
        <w:gridCol w:w="1157"/>
        <w:gridCol w:w="1494"/>
        <w:gridCol w:w="1157"/>
        <w:gridCol w:w="882"/>
        <w:gridCol w:w="1296"/>
        <w:gridCol w:w="1494"/>
      </w:tblGrid>
      <w:tr w:rsidR="00FD5081" w:rsidRPr="009A549F" w:rsidTr="00DC3187">
        <w:trPr>
          <w:trHeight w:val="1061"/>
          <w:jc w:val="center"/>
        </w:trPr>
        <w:tc>
          <w:tcPr>
            <w:tcW w:w="383" w:type="pct"/>
            <w:noWrap/>
            <w:vAlign w:val="bottom"/>
          </w:tcPr>
          <w:p w:rsidR="00FD5081" w:rsidRDefault="00FD5081" w:rsidP="00DC3187">
            <w:pPr>
              <w:rPr>
                <w:sz w:val="18"/>
                <w:szCs w:val="18"/>
              </w:rPr>
            </w:pPr>
          </w:p>
          <w:p w:rsidR="00FD5081" w:rsidRDefault="00FD5081" w:rsidP="00D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Herd ID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Year breakdown started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Breakdown duration (days)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Herd type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bottom"/>
          </w:tcPr>
          <w:p w:rsidR="00FD5081" w:rsidRDefault="00FD5081" w:rsidP="00DC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Herd</w:t>
            </w:r>
            <w:r w:rsidRPr="009A549F">
              <w:rPr>
                <w:sz w:val="18"/>
                <w:szCs w:val="18"/>
              </w:rPr>
              <w:t xml:space="preserve"> size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bottom"/>
          </w:tcPr>
          <w:p w:rsidR="00FD5081" w:rsidRDefault="00FD5081" w:rsidP="00DC3187">
            <w:pPr>
              <w:jc w:val="center"/>
              <w:rPr>
                <w:sz w:val="18"/>
                <w:szCs w:val="18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 xml:space="preserve">No. 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slaughtered during breakdown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% with VL/NVL data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 xml:space="preserve">No. </w:t>
            </w:r>
            <w:r>
              <w:rPr>
                <w:sz w:val="18"/>
                <w:szCs w:val="18"/>
              </w:rPr>
              <w:t>r</w:t>
            </w:r>
            <w:r w:rsidRPr="009A549F">
              <w:rPr>
                <w:sz w:val="18"/>
                <w:szCs w:val="18"/>
              </w:rPr>
              <w:t>eactors (with skin measures)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 xml:space="preserve">No. </w:t>
            </w:r>
            <w:r>
              <w:rPr>
                <w:sz w:val="18"/>
                <w:szCs w:val="18"/>
              </w:rPr>
              <w:t>direct contacts</w:t>
            </w:r>
            <w:r w:rsidRPr="009A549F">
              <w:rPr>
                <w:sz w:val="18"/>
                <w:szCs w:val="18"/>
              </w:rPr>
              <w:t xml:space="preserve"> 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(with skin measures)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A549F">
              <w:rPr>
                <w:sz w:val="18"/>
                <w:szCs w:val="18"/>
              </w:rPr>
              <w:t>No. IR</w:t>
            </w:r>
            <w:r w:rsidRPr="009A549F">
              <w:rPr>
                <w:sz w:val="18"/>
                <w:szCs w:val="18"/>
                <w:vertAlign w:val="superscript"/>
              </w:rPr>
              <w:t xml:space="preserve"> §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 xml:space="preserve">No. </w:t>
            </w:r>
            <w:r>
              <w:rPr>
                <w:sz w:val="18"/>
                <w:szCs w:val="18"/>
              </w:rPr>
              <w:t>slaughterhouse cases</w:t>
            </w:r>
            <w:r w:rsidRPr="009A549F">
              <w:rPr>
                <w:sz w:val="18"/>
                <w:szCs w:val="18"/>
              </w:rPr>
              <w:t xml:space="preserve"> </w:t>
            </w:r>
          </w:p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 xml:space="preserve">% slaughtered that were </w:t>
            </w:r>
            <w:r>
              <w:rPr>
                <w:sz w:val="18"/>
                <w:szCs w:val="18"/>
              </w:rPr>
              <w:t>direct contact</w:t>
            </w:r>
            <w:r w:rsidRPr="009A549F">
              <w:rPr>
                <w:sz w:val="18"/>
                <w:szCs w:val="18"/>
              </w:rPr>
              <w:t>s</w:t>
            </w:r>
          </w:p>
          <w:p w:rsidR="00FD5081" w:rsidRPr="009A549F" w:rsidRDefault="00FD5081" w:rsidP="00DC3187">
            <w:pPr>
              <w:rPr>
                <w:sz w:val="18"/>
                <w:szCs w:val="18"/>
              </w:rPr>
            </w:pP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2007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661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Dairy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59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95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33 (33)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26 (26)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44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265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Dairy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86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96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96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39 (38)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57 (54)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59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2008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365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49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52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34 (28)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16 (16)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31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</w:t>
            </w:r>
            <w:r w:rsidRPr="00E03BCC">
              <w:rPr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1988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120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23 (0)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33 (0)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59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</w:t>
            </w:r>
            <w:r w:rsidRPr="00BC300D">
              <w:rPr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2002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219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Dairy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109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127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98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41 (41)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85 (85)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67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2005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99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57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18 (18)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38 (38)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68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2003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709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Dairy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220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379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91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167(167)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212 (186)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8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1998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188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49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55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16 (0)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39 (0)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71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1996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114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80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22 (0)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52 (0)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65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2003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348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92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97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92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42 (42)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54 (54)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56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11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259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Dairy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78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93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55 (55)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38 (38)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41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12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1997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246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177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180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99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24 (0)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156 (0)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87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13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1995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242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91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92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99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23 (0)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63 (0)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68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2004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254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77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23 (23)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54 (54)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70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15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2010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Ongoing</w:t>
            </w:r>
            <w:proofErr w:type="spellEnd"/>
            <w:r>
              <w:rPr>
                <w:sz w:val="18"/>
                <w:szCs w:val="18"/>
              </w:rPr>
              <w:t xml:space="preserve"> &gt;240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164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157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93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110 (110)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57 (57)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36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16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2010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Ongoing</w:t>
            </w:r>
            <w:proofErr w:type="spellEnd"/>
            <w:r>
              <w:rPr>
                <w:sz w:val="18"/>
                <w:szCs w:val="18"/>
              </w:rPr>
              <w:t xml:space="preserve"> &gt;240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Beef</w:t>
            </w: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125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129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99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78 (78)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51 (51)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  <w:r w:rsidRPr="009A549F">
              <w:rPr>
                <w:sz w:val="18"/>
                <w:szCs w:val="18"/>
              </w:rPr>
              <w:t>40</w:t>
            </w:r>
          </w:p>
        </w:tc>
      </w:tr>
      <w:tr w:rsidR="00FD5081" w:rsidRPr="009A549F" w:rsidTr="00DC3187">
        <w:trPr>
          <w:trHeight w:val="255"/>
          <w:jc w:val="center"/>
        </w:trPr>
        <w:tc>
          <w:tcPr>
            <w:tcW w:w="383" w:type="pct"/>
            <w:noWrap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  <w:r w:rsidRPr="009A549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  <w:r w:rsidRPr="009A549F">
              <w:rPr>
                <w:b/>
                <w:sz w:val="18"/>
                <w:szCs w:val="18"/>
              </w:rPr>
              <w:t>748</w:t>
            </w:r>
          </w:p>
        </w:tc>
        <w:tc>
          <w:tcPr>
            <w:tcW w:w="414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  <w:r w:rsidRPr="009A549F">
              <w:rPr>
                <w:b/>
                <w:sz w:val="18"/>
                <w:szCs w:val="18"/>
              </w:rPr>
              <w:t>1031</w:t>
            </w:r>
          </w:p>
        </w:tc>
        <w:tc>
          <w:tcPr>
            <w:tcW w:w="317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  <w:r w:rsidRPr="009A54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2" w:type="pct"/>
            <w:vAlign w:val="bottom"/>
          </w:tcPr>
          <w:p w:rsidR="00FD5081" w:rsidRPr="009A549F" w:rsidRDefault="00FD5081" w:rsidP="00DC3187">
            <w:pPr>
              <w:jc w:val="center"/>
              <w:rPr>
                <w:b/>
                <w:sz w:val="18"/>
                <w:szCs w:val="18"/>
              </w:rPr>
            </w:pPr>
            <w:r w:rsidRPr="009A54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3" w:type="pct"/>
            <w:vAlign w:val="bottom"/>
          </w:tcPr>
          <w:p w:rsidR="00FD5081" w:rsidRPr="009A549F" w:rsidRDefault="00FD5081" w:rsidP="00DC31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5081" w:rsidRPr="003843A7" w:rsidRDefault="00FD5081" w:rsidP="00FD5081">
      <w:pPr>
        <w:spacing w:before="240"/>
        <w:jc w:val="both"/>
        <w:outlineLvl w:val="0"/>
        <w:rPr>
          <w:b/>
        </w:rPr>
      </w:pPr>
      <w:r w:rsidRPr="003843A7">
        <w:t>VL = visible lesions. NVL = no visible lesions. IR = inconclusive reactor.</w:t>
      </w:r>
      <w:r w:rsidRPr="003843A7">
        <w:rPr>
          <w:b/>
        </w:rPr>
        <w:t xml:space="preserve"> </w:t>
      </w:r>
      <w:r w:rsidRPr="003843A7">
        <w:rPr>
          <w:vertAlign w:val="superscript"/>
        </w:rPr>
        <w:t>§</w:t>
      </w:r>
      <w:r w:rsidRPr="003843A7">
        <w:t xml:space="preserve"> IRs identified during the breakdown and retested </w:t>
      </w:r>
      <w:proofErr w:type="gramStart"/>
      <w:r w:rsidRPr="003843A7">
        <w:t>were</w:t>
      </w:r>
      <w:proofErr w:type="gramEnd"/>
      <w:r w:rsidRPr="003843A7">
        <w:t xml:space="preserve"> mostly recorded as </w:t>
      </w:r>
      <w:r>
        <w:t>reactors</w:t>
      </w:r>
      <w:r w:rsidRPr="003843A7">
        <w:t xml:space="preserve"> or </w:t>
      </w:r>
      <w:r>
        <w:t>direct contacts</w:t>
      </w:r>
      <w:r w:rsidRPr="003843A7">
        <w:t xml:space="preserve"> in </w:t>
      </w:r>
      <w:proofErr w:type="spellStart"/>
      <w:r w:rsidRPr="003843A7">
        <w:t>VetNet</w:t>
      </w:r>
      <w:proofErr w:type="spellEnd"/>
      <w:r w:rsidRPr="003843A7">
        <w:t xml:space="preserve"> when slaughtered. However, there were some occasions where the animal, although slaughtered, was still recorded as an IR. The number of these is shown in this column.</w:t>
      </w:r>
      <w:r w:rsidRPr="003843A7">
        <w:rPr>
          <w:b/>
        </w:rPr>
        <w:t xml:space="preserve"> </w:t>
      </w:r>
      <w:r w:rsidRPr="003843A7">
        <w:t>These were excluded from calculations as they had not been SICCT tested</w:t>
      </w:r>
      <w:r>
        <w:t xml:space="preserve">. </w:t>
      </w:r>
      <w:r w:rsidRPr="002A3C50">
        <w:rPr>
          <w:vertAlign w:val="superscript"/>
        </w:rPr>
        <w:t>¶</w:t>
      </w:r>
      <w:r>
        <w:t xml:space="preserve"> Herds for which culture data were available.</w:t>
      </w:r>
    </w:p>
    <w:p w:rsidR="009937A8" w:rsidRDefault="009937A8">
      <w:bookmarkStart w:id="0" w:name="_GoBack"/>
      <w:bookmarkEnd w:id="0"/>
    </w:p>
    <w:sectPr w:rsidR="009937A8" w:rsidSect="00FD5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1"/>
    <w:rsid w:val="000A0870"/>
    <w:rsid w:val="009937A8"/>
    <w:rsid w:val="009A3EA2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0870"/>
    <w:rPr>
      <w:rFonts w:eastAsia="Cambria"/>
      <w:b/>
      <w:bCs/>
      <w:sz w:val="20"/>
      <w:szCs w:val="20"/>
      <w:lang w:eastAsia="en-GB"/>
    </w:rPr>
  </w:style>
  <w:style w:type="character" w:styleId="Strong">
    <w:name w:val="Strong"/>
    <w:qFormat/>
    <w:rsid w:val="000A0870"/>
    <w:rPr>
      <w:rFonts w:cs="Times New Roman"/>
      <w:b/>
    </w:rPr>
  </w:style>
  <w:style w:type="character" w:styleId="Emphasis">
    <w:name w:val="Emphasis"/>
    <w:qFormat/>
    <w:rsid w:val="000A087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0870"/>
    <w:rPr>
      <w:rFonts w:eastAsia="Cambria"/>
      <w:b/>
      <w:bCs/>
      <w:sz w:val="20"/>
      <w:szCs w:val="20"/>
      <w:lang w:eastAsia="en-GB"/>
    </w:rPr>
  </w:style>
  <w:style w:type="character" w:styleId="Strong">
    <w:name w:val="Strong"/>
    <w:qFormat/>
    <w:rsid w:val="000A0870"/>
    <w:rPr>
      <w:rFonts w:cs="Times New Roman"/>
      <w:b/>
    </w:rPr>
  </w:style>
  <w:style w:type="character" w:styleId="Emphasis">
    <w:name w:val="Emphasis"/>
    <w:qFormat/>
    <w:rsid w:val="000A087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2012-07-30T10:28:00Z</dcterms:created>
  <dcterms:modified xsi:type="dcterms:W3CDTF">2012-07-30T10:29:00Z</dcterms:modified>
</cp:coreProperties>
</file>