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48" w:rsidRPr="00A54F84" w:rsidRDefault="00FD3A48" w:rsidP="00FD3A48">
      <w:bookmarkStart w:id="0" w:name="_GoBack"/>
      <w:r>
        <w:rPr>
          <w:b/>
        </w:rPr>
        <w:t>Table S1:</w:t>
      </w:r>
      <w:r>
        <w:t xml:space="preserve"> Results of repeated measures ANOVA</w:t>
      </w:r>
    </w:p>
    <w:tbl>
      <w:tblPr>
        <w:tblpPr w:leftFromText="180" w:rightFromText="180" w:vertAnchor="page" w:horzAnchor="page" w:tblpX="1549" w:tblpY="180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79"/>
        <w:gridCol w:w="1416"/>
        <w:gridCol w:w="1475"/>
        <w:gridCol w:w="1726"/>
        <w:gridCol w:w="1227"/>
      </w:tblGrid>
      <w:tr w:rsidR="00FD3A48" w:rsidTr="00FD3A48">
        <w:trPr>
          <w:trHeight w:val="757"/>
        </w:trPr>
        <w:tc>
          <w:tcPr>
            <w:tcW w:w="13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bookmarkEnd w:id="0"/>
          <w:p w:rsidR="00FD3A48" w:rsidRPr="00F0526E" w:rsidRDefault="00FD3A48" w:rsidP="00FD3A48">
            <w:pPr>
              <w:jc w:val="center"/>
              <w:rPr>
                <w:b/>
                <w:sz w:val="22"/>
                <w:szCs w:val="22"/>
              </w:rPr>
            </w:pPr>
            <w:r w:rsidRPr="00F0526E">
              <w:rPr>
                <w:b/>
                <w:sz w:val="22"/>
                <w:szCs w:val="22"/>
              </w:rPr>
              <w:t>Region</w:t>
            </w:r>
          </w:p>
        </w:tc>
        <w:tc>
          <w:tcPr>
            <w:tcW w:w="18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b/>
                <w:sz w:val="22"/>
                <w:szCs w:val="22"/>
              </w:rPr>
            </w:pPr>
            <w:r w:rsidRPr="00F0526E">
              <w:rPr>
                <w:b/>
                <w:sz w:val="22"/>
                <w:szCs w:val="22"/>
              </w:rPr>
              <w:t>Contrast</w:t>
            </w:r>
          </w:p>
        </w:tc>
        <w:tc>
          <w:tcPr>
            <w:tcW w:w="14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b/>
                <w:sz w:val="22"/>
                <w:szCs w:val="22"/>
              </w:rPr>
            </w:pPr>
            <w:r w:rsidRPr="00F0526E">
              <w:rPr>
                <w:b/>
                <w:sz w:val="22"/>
                <w:szCs w:val="22"/>
              </w:rPr>
              <w:t>Cluster volume (mm</w:t>
            </w:r>
            <w:r w:rsidRPr="00F0526E">
              <w:rPr>
                <w:b/>
                <w:sz w:val="22"/>
                <w:szCs w:val="22"/>
                <w:vertAlign w:val="superscript"/>
              </w:rPr>
              <w:t>3</w:t>
            </w:r>
            <w:r w:rsidRPr="00F052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b/>
                <w:sz w:val="22"/>
                <w:szCs w:val="22"/>
              </w:rPr>
            </w:pPr>
            <w:r w:rsidRPr="00F0526E">
              <w:rPr>
                <w:b/>
                <w:sz w:val="22"/>
                <w:szCs w:val="22"/>
              </w:rPr>
              <w:t>Cluster p-value (corrected)</w:t>
            </w:r>
          </w:p>
        </w:tc>
        <w:tc>
          <w:tcPr>
            <w:tcW w:w="17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b/>
                <w:sz w:val="22"/>
                <w:szCs w:val="22"/>
              </w:rPr>
            </w:pPr>
            <w:r w:rsidRPr="00F0526E">
              <w:rPr>
                <w:b/>
                <w:sz w:val="22"/>
                <w:szCs w:val="22"/>
              </w:rPr>
              <w:t>Coordinates of cluster peak</w:t>
            </w:r>
          </w:p>
        </w:tc>
        <w:tc>
          <w:tcPr>
            <w:tcW w:w="122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b/>
                <w:sz w:val="22"/>
                <w:szCs w:val="22"/>
              </w:rPr>
            </w:pPr>
            <w:r w:rsidRPr="00F0526E">
              <w:rPr>
                <w:b/>
                <w:sz w:val="22"/>
                <w:szCs w:val="22"/>
              </w:rPr>
              <w:t>Peak voxel F-value</w:t>
            </w:r>
          </w:p>
        </w:tc>
      </w:tr>
      <w:tr w:rsidR="00FD3A48" w:rsidTr="00FD3A48">
        <w:trPr>
          <w:trHeight w:val="757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proofErr w:type="gramStart"/>
            <w:r w:rsidRPr="00F0526E">
              <w:rPr>
                <w:sz w:val="22"/>
                <w:szCs w:val="22"/>
              </w:rPr>
              <w:t>anterior</w:t>
            </w:r>
            <w:proofErr w:type="gramEnd"/>
            <w:r w:rsidRPr="00F0526E">
              <w:rPr>
                <w:sz w:val="22"/>
                <w:szCs w:val="22"/>
              </w:rPr>
              <w:t xml:space="preserve"> insula</w:t>
            </w:r>
          </w:p>
        </w:tc>
        <w:tc>
          <w:tcPr>
            <w:tcW w:w="1879" w:type="dxa"/>
            <w:tcBorders>
              <w:top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 x valence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616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.119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44, 13, -8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4.51</w:t>
            </w:r>
          </w:p>
        </w:tc>
      </w:tr>
      <w:tr w:rsidR="00FD3A48" w:rsidTr="00FD3A48">
        <w:trPr>
          <w:trHeight w:val="242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312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.622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-45, 15, -1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7.93</w:t>
            </w:r>
          </w:p>
        </w:tc>
      </w:tr>
      <w:tr w:rsidR="00FD3A48" w:rsidTr="00FD3A48">
        <w:trPr>
          <w:trHeight w:val="242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ventral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0526E">
              <w:rPr>
                <w:sz w:val="22"/>
                <w:szCs w:val="22"/>
              </w:rPr>
              <w:t>posterior insula</w:t>
            </w:r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 x valence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1496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.002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-45, -30, 4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4.65</w:t>
            </w:r>
            <w:r>
              <w:rPr>
                <w:sz w:val="22"/>
                <w:szCs w:val="22"/>
              </w:rPr>
              <w:t>*</w:t>
            </w:r>
          </w:p>
        </w:tc>
      </w:tr>
      <w:tr w:rsidR="00FD3A48" w:rsidTr="00FD3A48">
        <w:trPr>
          <w:trHeight w:val="257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proofErr w:type="gramStart"/>
            <w:r w:rsidRPr="00F0526E">
              <w:rPr>
                <w:sz w:val="22"/>
                <w:szCs w:val="22"/>
              </w:rPr>
              <w:t>inferior</w:t>
            </w:r>
            <w:proofErr w:type="gramEnd"/>
            <w:r w:rsidRPr="00F0526E">
              <w:rPr>
                <w:sz w:val="22"/>
                <w:szCs w:val="22"/>
              </w:rPr>
              <w:t xml:space="preserve"> frontal </w:t>
            </w:r>
            <w:proofErr w:type="spellStart"/>
            <w:r w:rsidRPr="00F0526E">
              <w:rPr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 x valence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904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 xml:space="preserve"> .003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-47, 27, 5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5.83</w:t>
            </w:r>
          </w:p>
        </w:tc>
      </w:tr>
      <w:tr w:rsidR="00FD3A48" w:rsidTr="00FD3A48">
        <w:trPr>
          <w:trHeight w:val="242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proofErr w:type="gramStart"/>
            <w:r w:rsidRPr="00F0526E">
              <w:rPr>
                <w:sz w:val="22"/>
                <w:szCs w:val="22"/>
              </w:rPr>
              <w:t>middle</w:t>
            </w:r>
            <w:proofErr w:type="gramEnd"/>
            <w:r w:rsidRPr="00F0526E">
              <w:rPr>
                <w:sz w:val="22"/>
                <w:szCs w:val="22"/>
              </w:rPr>
              <w:t xml:space="preserve"> frontal </w:t>
            </w:r>
            <w:proofErr w:type="spellStart"/>
            <w:r w:rsidRPr="00F0526E">
              <w:rPr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2080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&lt; .001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32, 51, 1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10.00</w:t>
            </w:r>
          </w:p>
        </w:tc>
      </w:tr>
      <w:tr w:rsidR="00FD3A48" w:rsidTr="00FD3A48">
        <w:trPr>
          <w:trHeight w:val="257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proofErr w:type="gramStart"/>
            <w:r w:rsidRPr="00F0526E">
              <w:rPr>
                <w:sz w:val="22"/>
                <w:szCs w:val="22"/>
              </w:rPr>
              <w:t>thalamus</w:t>
            </w:r>
            <w:proofErr w:type="gramEnd"/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520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&lt; .001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6, -34, 5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23.69</w:t>
            </w:r>
          </w:p>
        </w:tc>
      </w:tr>
      <w:tr w:rsidR="00FD3A48" w:rsidTr="00FD3A48">
        <w:trPr>
          <w:trHeight w:val="257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424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&lt; .001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-6, -34, 7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15.63</w:t>
            </w:r>
          </w:p>
        </w:tc>
      </w:tr>
      <w:tr w:rsidR="00FD3A48" w:rsidTr="00FD3A48">
        <w:trPr>
          <w:trHeight w:val="242"/>
        </w:trPr>
        <w:tc>
          <w:tcPr>
            <w:tcW w:w="1368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proofErr w:type="gramStart"/>
            <w:r w:rsidRPr="00F0526E">
              <w:rPr>
                <w:sz w:val="22"/>
                <w:szCs w:val="22"/>
              </w:rPr>
              <w:t>caudate</w:t>
            </w:r>
            <w:proofErr w:type="gramEnd"/>
          </w:p>
        </w:tc>
        <w:tc>
          <w:tcPr>
            <w:tcW w:w="1879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Group x challenge</w:t>
            </w:r>
          </w:p>
        </w:tc>
        <w:tc>
          <w:tcPr>
            <w:tcW w:w="141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528</w:t>
            </w:r>
          </w:p>
        </w:tc>
        <w:tc>
          <w:tcPr>
            <w:tcW w:w="1475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&lt; .001</w:t>
            </w:r>
          </w:p>
        </w:tc>
        <w:tc>
          <w:tcPr>
            <w:tcW w:w="1726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6, 1, 5</w:t>
            </w:r>
          </w:p>
        </w:tc>
        <w:tc>
          <w:tcPr>
            <w:tcW w:w="1227" w:type="dxa"/>
            <w:vAlign w:val="center"/>
          </w:tcPr>
          <w:p w:rsidR="00FD3A48" w:rsidRPr="00F0526E" w:rsidRDefault="00FD3A48" w:rsidP="00FD3A48">
            <w:pPr>
              <w:jc w:val="center"/>
              <w:rPr>
                <w:sz w:val="22"/>
                <w:szCs w:val="22"/>
              </w:rPr>
            </w:pPr>
            <w:r w:rsidRPr="00F0526E">
              <w:rPr>
                <w:sz w:val="22"/>
                <w:szCs w:val="22"/>
              </w:rPr>
              <w:t>15.6</w:t>
            </w:r>
          </w:p>
        </w:tc>
      </w:tr>
    </w:tbl>
    <w:p w:rsidR="00FD3A48" w:rsidRDefault="00FD3A48" w:rsidP="00FD3A48">
      <w:pPr>
        <w:ind w:right="-270"/>
      </w:pPr>
    </w:p>
    <w:p w:rsidR="00FD3A48" w:rsidRDefault="00FD3A48" w:rsidP="00FD3A48">
      <w:pPr>
        <w:ind w:left="-180" w:right="-270"/>
      </w:pPr>
      <w:r>
        <w:t xml:space="preserve">These clusters were identified using a 3 (group) x 2 (challenge) x 3 (valence) mixed model repeated measures ANOVA with subject as a random factor. Monte Carlo simulation was used to correct for multiple comparisons, based on volumetric criteria. First, clusters were identified using a </w:t>
      </w:r>
      <w:r w:rsidRPr="007201E5">
        <w:t xml:space="preserve">voxel-wise threshold of </w:t>
      </w:r>
      <w:r>
        <w:t xml:space="preserve">two-tailed </w:t>
      </w:r>
      <w:r w:rsidRPr="007201E5">
        <w:t xml:space="preserve">p ≤ 0.05 uncorrected </w:t>
      </w:r>
      <w:r>
        <w:t xml:space="preserve">in the a priori insula and ACC regions of interest, and </w:t>
      </w:r>
      <w:r w:rsidRPr="007201E5">
        <w:t>p ≤ 0.01</w:t>
      </w:r>
      <w:r>
        <w:t xml:space="preserve"> uncorrected in</w:t>
      </w:r>
      <w:r w:rsidRPr="007201E5">
        <w:t xml:space="preserve"> </w:t>
      </w:r>
      <w:r>
        <w:t xml:space="preserve">all other </w:t>
      </w:r>
      <w:r w:rsidRPr="007201E5">
        <w:t xml:space="preserve">regions. </w:t>
      </w:r>
      <w:r>
        <w:t xml:space="preserve">Next, corrected cluster p-values were identified by computing the probability of obtaining equivalently sized clusters from random noise, based on 1000 simulations. </w:t>
      </w:r>
      <w:r w:rsidRPr="007E7A45">
        <w:t>For regions outside the focus of our a priori predictions</w:t>
      </w:r>
      <w:r>
        <w:t xml:space="preserve">, an average whole brain of all participants comprised the search volume for simulations. P-values for insular and ACC clusters were corrected for multiple comparisons within insular and ACC masks respectively. Coordinates are reported in Montreal Neurological Institute (MNI) Space. </w:t>
      </w:r>
      <w:r w:rsidRPr="001D79DA">
        <w:t xml:space="preserve">*Note the voxel with peak activation in this cluster is actually located on the edge of the superior temporal </w:t>
      </w:r>
      <w:proofErr w:type="spellStart"/>
      <w:r w:rsidRPr="001D79DA">
        <w:t>gyrus</w:t>
      </w:r>
      <w:proofErr w:type="spellEnd"/>
      <w:r w:rsidRPr="001D79DA">
        <w:t>, though the vast majority of voxels in this cluster are located in the insula.</w:t>
      </w:r>
    </w:p>
    <w:p w:rsidR="00F41ABE" w:rsidRDefault="00F41ABE"/>
    <w:sectPr w:rsidR="00F41ABE" w:rsidSect="00F41A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48"/>
    <w:rsid w:val="00F41ABE"/>
    <w:rsid w:val="00FD3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4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4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4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Macintosh Word</Application>
  <DocSecurity>0</DocSecurity>
  <Lines>12</Lines>
  <Paragraphs>3</Paragraphs>
  <ScaleCrop>false</ScaleCrop>
  <Company>The University of Wisconsin - Madison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2012-07-10T17:18:00Z</dcterms:created>
  <dcterms:modified xsi:type="dcterms:W3CDTF">2012-07-10T17:20:00Z</dcterms:modified>
</cp:coreProperties>
</file>