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45" w:rsidRDefault="00C47E45" w:rsidP="00C47E45">
      <w:pPr>
        <w:spacing w:line="240" w:lineRule="auto"/>
        <w:rPr>
          <w:b/>
          <w:lang w:val="en-IE"/>
        </w:rPr>
      </w:pPr>
      <w:r>
        <w:rPr>
          <w:b/>
          <w:lang w:val="en-IE"/>
        </w:rPr>
        <w:t xml:space="preserve">Table S2: </w:t>
      </w:r>
      <w:proofErr w:type="spellStart"/>
      <w:r w:rsidRPr="00CE0D66">
        <w:rPr>
          <w:b/>
          <w:i/>
          <w:lang w:val="en-IE"/>
        </w:rPr>
        <w:t>EquiFrame</w:t>
      </w:r>
      <w:proofErr w:type="spellEnd"/>
      <w:r>
        <w:rPr>
          <w:b/>
          <w:lang w:val="en-IE"/>
        </w:rPr>
        <w:t xml:space="preserve"> Vulnerable Group Definitions</w:t>
      </w:r>
    </w:p>
    <w:tbl>
      <w:tblPr>
        <w:tblpPr w:leftFromText="180" w:rightFromText="180" w:vertAnchor="text" w:horzAnchor="page" w:tblpX="1288" w:tblpY="236"/>
        <w:bidiVisual/>
        <w:tblW w:w="8384" w:type="dxa"/>
        <w:tblBorders>
          <w:top w:val="single" w:sz="8" w:space="0" w:color="F79646"/>
          <w:left w:val="single" w:sz="8" w:space="0" w:color="F79646"/>
          <w:bottom w:val="single" w:sz="8" w:space="0" w:color="F79646"/>
          <w:right w:val="single" w:sz="8" w:space="0" w:color="F79646"/>
        </w:tblBorders>
        <w:tblLayout w:type="fixed"/>
        <w:tblLook w:val="01E0" w:firstRow="1" w:lastRow="1" w:firstColumn="1" w:lastColumn="1" w:noHBand="0" w:noVBand="0"/>
      </w:tblPr>
      <w:tblGrid>
        <w:gridCol w:w="2916"/>
        <w:gridCol w:w="243"/>
        <w:gridCol w:w="1017"/>
        <w:gridCol w:w="1598"/>
        <w:gridCol w:w="1980"/>
        <w:gridCol w:w="630"/>
      </w:tblGrid>
      <w:tr w:rsidR="00C47E45" w:rsidRPr="00CA3354" w:rsidTr="00722FD1">
        <w:trPr>
          <w:trHeight w:val="521"/>
        </w:trPr>
        <w:tc>
          <w:tcPr>
            <w:tcW w:w="2916" w:type="dxa"/>
            <w:tcBorders>
              <w:top w:val="single" w:sz="8" w:space="0" w:color="F79646"/>
              <w:left w:val="double" w:sz="4" w:space="0" w:color="F79646"/>
              <w:bottom w:val="double" w:sz="4" w:space="0" w:color="F79646"/>
              <w:right w:val="double" w:sz="4" w:space="0" w:color="F79646"/>
            </w:tcBorders>
            <w:shd w:val="clear" w:color="auto" w:fill="F79646"/>
          </w:tcPr>
          <w:p w:rsidR="00C47E45" w:rsidRPr="00967377" w:rsidRDefault="00AE4E98" w:rsidP="00722FD1">
            <w:pPr>
              <w:spacing w:after="0" w:line="240" w:lineRule="auto"/>
              <w:ind w:right="-35"/>
              <w:jc w:val="both"/>
              <w:rPr>
                <w:rFonts w:eastAsia="Calibri"/>
                <w:b/>
                <w:bCs/>
                <w:sz w:val="24"/>
                <w:szCs w:val="24"/>
                <w:lang w:val="en-IE" w:bidi="ar-AE"/>
              </w:rPr>
            </w:pPr>
            <w:r>
              <w:rPr>
                <w:rFonts w:eastAsia="Calibri"/>
                <w:b/>
                <w:bCs/>
                <w:sz w:val="24"/>
                <w:szCs w:val="24"/>
                <w:lang w:val="en-IE" w:bidi="ar-AE"/>
              </w:rPr>
              <w:t>Supporting L</w:t>
            </w:r>
            <w:r w:rsidR="00C47E45">
              <w:rPr>
                <w:rFonts w:eastAsia="Calibri"/>
                <w:b/>
                <w:bCs/>
                <w:sz w:val="24"/>
                <w:szCs w:val="24"/>
                <w:lang w:val="en-IE" w:bidi="ar-AE"/>
              </w:rPr>
              <w:t>iterature</w:t>
            </w:r>
          </w:p>
        </w:tc>
        <w:tc>
          <w:tcPr>
            <w:tcW w:w="243" w:type="dxa"/>
            <w:tcBorders>
              <w:top w:val="single" w:sz="8" w:space="0" w:color="F79646"/>
              <w:left w:val="double" w:sz="4" w:space="0" w:color="F79646"/>
              <w:bottom w:val="nil"/>
              <w:right w:val="nil"/>
            </w:tcBorders>
            <w:shd w:val="clear" w:color="auto" w:fill="F79646"/>
          </w:tcPr>
          <w:p w:rsidR="00C47E45" w:rsidRPr="00967377" w:rsidRDefault="00C47E45" w:rsidP="00722FD1">
            <w:pPr>
              <w:spacing w:after="0" w:line="240" w:lineRule="auto"/>
              <w:ind w:right="-35"/>
              <w:jc w:val="both"/>
              <w:rPr>
                <w:rFonts w:eastAsia="Calibri"/>
                <w:b/>
                <w:bCs/>
                <w:sz w:val="24"/>
                <w:szCs w:val="24"/>
                <w:lang w:val="en-IE" w:bidi="ar-AE"/>
              </w:rPr>
            </w:pPr>
          </w:p>
        </w:tc>
        <w:tc>
          <w:tcPr>
            <w:tcW w:w="1017" w:type="dxa"/>
            <w:tcBorders>
              <w:top w:val="single" w:sz="8" w:space="0" w:color="F79646"/>
              <w:left w:val="nil"/>
              <w:bottom w:val="nil"/>
              <w:right w:val="nil"/>
            </w:tcBorders>
            <w:shd w:val="clear" w:color="auto" w:fill="F79646"/>
          </w:tcPr>
          <w:p w:rsidR="00C47E45" w:rsidRPr="00967377" w:rsidRDefault="00C47E45" w:rsidP="00722FD1">
            <w:pPr>
              <w:spacing w:after="0" w:line="240" w:lineRule="auto"/>
              <w:ind w:right="-35"/>
              <w:jc w:val="both"/>
              <w:rPr>
                <w:rFonts w:eastAsia="Calibri"/>
                <w:b/>
                <w:bCs/>
                <w:sz w:val="24"/>
                <w:szCs w:val="24"/>
                <w:lang w:val="en-IE" w:bidi="ar-AE"/>
              </w:rPr>
            </w:pPr>
          </w:p>
        </w:tc>
        <w:tc>
          <w:tcPr>
            <w:tcW w:w="1598" w:type="dxa"/>
            <w:tcBorders>
              <w:top w:val="single" w:sz="8" w:space="0" w:color="F79646"/>
              <w:left w:val="nil"/>
              <w:bottom w:val="nil"/>
              <w:right w:val="nil"/>
            </w:tcBorders>
            <w:shd w:val="clear" w:color="auto" w:fill="F79646"/>
          </w:tcPr>
          <w:p w:rsidR="00C47E45" w:rsidRPr="00967377" w:rsidRDefault="00C47E45" w:rsidP="00722FD1">
            <w:pPr>
              <w:spacing w:after="0" w:line="240" w:lineRule="auto"/>
              <w:ind w:right="-35"/>
              <w:jc w:val="both"/>
              <w:rPr>
                <w:rFonts w:eastAsia="Calibri"/>
                <w:b/>
                <w:bCs/>
                <w:sz w:val="24"/>
                <w:szCs w:val="24"/>
                <w:lang w:val="en-IE" w:bidi="ar-AE"/>
              </w:rPr>
            </w:pPr>
            <w:r>
              <w:rPr>
                <w:rFonts w:eastAsia="Calibri"/>
                <w:b/>
                <w:bCs/>
                <w:sz w:val="24"/>
                <w:szCs w:val="24"/>
                <w:lang w:val="en-IE" w:bidi="ar-AE"/>
              </w:rPr>
              <w:t xml:space="preserve">Attributes </w:t>
            </w:r>
            <w:r w:rsidRPr="00967377">
              <w:rPr>
                <w:rFonts w:eastAsia="Calibri"/>
                <w:b/>
                <w:bCs/>
                <w:sz w:val="24"/>
                <w:szCs w:val="24"/>
                <w:lang w:val="en-IE" w:bidi="ar-AE"/>
              </w:rPr>
              <w:t>or Definitions</w:t>
            </w:r>
          </w:p>
        </w:tc>
        <w:tc>
          <w:tcPr>
            <w:tcW w:w="1980" w:type="dxa"/>
            <w:tcBorders>
              <w:top w:val="single" w:sz="8" w:space="0" w:color="F79646"/>
              <w:left w:val="single" w:sz="8" w:space="0" w:color="F79646"/>
              <w:bottom w:val="nil"/>
              <w:right w:val="single" w:sz="8" w:space="0" w:color="F79646"/>
            </w:tcBorders>
            <w:shd w:val="clear" w:color="auto" w:fill="F79646"/>
          </w:tcPr>
          <w:p w:rsidR="00C47E45" w:rsidRPr="00967377" w:rsidRDefault="00C47E45" w:rsidP="00722FD1">
            <w:pPr>
              <w:spacing w:after="0" w:line="240" w:lineRule="auto"/>
              <w:ind w:right="-35"/>
              <w:jc w:val="both"/>
              <w:rPr>
                <w:rFonts w:eastAsia="Calibri"/>
                <w:b/>
                <w:bCs/>
                <w:sz w:val="24"/>
                <w:szCs w:val="24"/>
                <w:lang w:val="en-IE" w:bidi="ar-AE"/>
              </w:rPr>
            </w:pPr>
            <w:r w:rsidRPr="00967377">
              <w:rPr>
                <w:rFonts w:eastAsia="Calibri"/>
                <w:b/>
                <w:bCs/>
                <w:sz w:val="24"/>
                <w:szCs w:val="24"/>
                <w:lang w:val="en-IE" w:bidi="ar-AE"/>
              </w:rPr>
              <w:t>Vulnerable Group</w:t>
            </w:r>
          </w:p>
        </w:tc>
        <w:tc>
          <w:tcPr>
            <w:tcW w:w="630" w:type="dxa"/>
            <w:tcBorders>
              <w:top w:val="single" w:sz="8" w:space="0" w:color="F79646"/>
              <w:left w:val="nil"/>
              <w:bottom w:val="nil"/>
              <w:right w:val="double" w:sz="4" w:space="0" w:color="F79646"/>
            </w:tcBorders>
            <w:shd w:val="clear" w:color="auto" w:fill="F79646"/>
          </w:tcPr>
          <w:p w:rsidR="00C47E45" w:rsidRPr="00967377" w:rsidRDefault="00C47E45" w:rsidP="00722FD1">
            <w:pPr>
              <w:spacing w:after="0" w:line="240" w:lineRule="auto"/>
              <w:ind w:right="-35"/>
              <w:jc w:val="both"/>
              <w:rPr>
                <w:rFonts w:eastAsia="Calibri"/>
                <w:b/>
                <w:bCs/>
                <w:sz w:val="24"/>
                <w:szCs w:val="24"/>
                <w:lang w:val="en-IE"/>
              </w:rPr>
            </w:pPr>
            <w:r w:rsidRPr="00967377">
              <w:rPr>
                <w:rFonts w:eastAsia="Calibri"/>
                <w:b/>
                <w:bCs/>
                <w:sz w:val="24"/>
                <w:szCs w:val="24"/>
                <w:lang w:val="en-IE"/>
              </w:rPr>
              <w:t>No.</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887B4E" w:rsidP="00722FD1">
            <w:pPr>
              <w:spacing w:after="0" w:line="240" w:lineRule="auto"/>
              <w:ind w:right="-35"/>
              <w:rPr>
                <w:rFonts w:ascii="Calibri" w:hAnsi="Calibri"/>
                <w:sz w:val="20"/>
                <w:szCs w:val="20"/>
              </w:rPr>
            </w:pPr>
            <w:r>
              <w:rPr>
                <w:rFonts w:ascii="Calibri" w:hAnsi="Calibri"/>
                <w:sz w:val="20"/>
                <w:szCs w:val="20"/>
              </w:rPr>
              <w:t xml:space="preserve">1, 2, 3, 4, 5, </w:t>
            </w:r>
            <w:r w:rsidR="00A134F9">
              <w:rPr>
                <w:rFonts w:ascii="Calibri" w:hAnsi="Calibri"/>
                <w:sz w:val="20"/>
                <w:szCs w:val="20"/>
              </w:rPr>
              <w:t xml:space="preserve">6, 7, 8, 9, 10, </w:t>
            </w:r>
            <w:r w:rsidR="006F3EF9">
              <w:rPr>
                <w:rFonts w:ascii="Calibri" w:hAnsi="Calibri"/>
                <w:sz w:val="20"/>
                <w:szCs w:val="20"/>
              </w:rPr>
              <w:t>11, 12, 13, 14, 15, 16, 17, 18, 19</w:t>
            </w:r>
          </w:p>
        </w:tc>
        <w:tc>
          <w:tcPr>
            <w:tcW w:w="243" w:type="dxa"/>
            <w:tcBorders>
              <w:top w:val="single" w:sz="8" w:space="0" w:color="F79646"/>
              <w:left w:val="double" w:sz="4" w:space="0" w:color="F79646"/>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single" w:sz="8" w:space="0" w:color="F79646"/>
              <w:left w:val="nil"/>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single" w:sz="8" w:space="0" w:color="F79646"/>
              <w:left w:val="nil"/>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poor people or people living in poverty</w:t>
            </w:r>
          </w:p>
        </w:tc>
        <w:tc>
          <w:tcPr>
            <w:tcW w:w="1980" w:type="dxa"/>
            <w:tcBorders>
              <w:top w:val="single" w:sz="8" w:space="0" w:color="F79646"/>
              <w:left w:val="single" w:sz="8" w:space="0" w:color="F79646"/>
              <w:bottom w:val="single" w:sz="8"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Limited Resources</w:t>
            </w:r>
          </w:p>
        </w:tc>
        <w:tc>
          <w:tcPr>
            <w:tcW w:w="630" w:type="dxa"/>
            <w:tcBorders>
              <w:top w:val="single" w:sz="8" w:space="0" w:color="F79646"/>
              <w:left w:val="nil"/>
              <w:bottom w:val="single" w:sz="8"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1.</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002925" w:rsidP="00722FD1">
            <w:pPr>
              <w:spacing w:after="0" w:line="240" w:lineRule="auto"/>
              <w:ind w:right="-35"/>
              <w:rPr>
                <w:rFonts w:ascii="Calibri" w:hAnsi="Calibri"/>
                <w:sz w:val="20"/>
                <w:szCs w:val="20"/>
              </w:rPr>
            </w:pPr>
            <w:r>
              <w:rPr>
                <w:rFonts w:ascii="Calibri" w:hAnsi="Calibri"/>
                <w:sz w:val="20"/>
                <w:szCs w:val="20"/>
              </w:rPr>
              <w:t>12, 20, 21,</w:t>
            </w:r>
            <w:r w:rsidR="001D15D9">
              <w:rPr>
                <w:rFonts w:ascii="Calibri" w:hAnsi="Calibri"/>
                <w:sz w:val="20"/>
                <w:szCs w:val="20"/>
              </w:rPr>
              <w:t xml:space="preserve"> 22, 23</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people with one of the top 10 illnesses, identified by WHO, as occurring within the relevant country</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cs="Arial"/>
                <w:b/>
                <w:sz w:val="24"/>
                <w:szCs w:val="24"/>
                <w:lang w:val="en-GB" w:eastAsia="en-GB"/>
              </w:rPr>
            </w:pPr>
            <w:r w:rsidRPr="00967377">
              <w:rPr>
                <w:rFonts w:ascii="Calibri" w:eastAsia="Calibri" w:hAnsi="Calibri" w:cs="Arial"/>
                <w:b/>
                <w:sz w:val="24"/>
                <w:szCs w:val="24"/>
                <w:lang w:val="en-IE"/>
              </w:rPr>
              <w:t xml:space="preserve">Increased Relative Risk For Morbidity </w:t>
            </w:r>
          </w:p>
          <w:p w:rsidR="00C47E45" w:rsidRPr="00967377" w:rsidRDefault="00C47E45" w:rsidP="00722FD1">
            <w:pPr>
              <w:spacing w:after="0" w:line="240" w:lineRule="auto"/>
              <w:ind w:right="-35"/>
              <w:rPr>
                <w:rFonts w:ascii="Calibri" w:eastAsia="Calibri" w:hAnsi="Calibri"/>
                <w:b/>
                <w:sz w:val="24"/>
                <w:szCs w:val="24"/>
                <w:lang w:val="en-IE"/>
              </w:rPr>
            </w:pP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2.</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064690" w:rsidP="00722FD1">
            <w:pPr>
              <w:spacing w:after="0" w:line="240" w:lineRule="auto"/>
              <w:ind w:right="-35"/>
              <w:rPr>
                <w:rFonts w:ascii="Calibri" w:hAnsi="Calibri"/>
                <w:sz w:val="20"/>
                <w:szCs w:val="20"/>
              </w:rPr>
            </w:pPr>
            <w:r>
              <w:rPr>
                <w:rFonts w:ascii="Calibri" w:hAnsi="Calibri"/>
                <w:sz w:val="20"/>
                <w:szCs w:val="20"/>
              </w:rPr>
              <w:t xml:space="preserve">3, </w:t>
            </w:r>
            <w:r w:rsidR="002E0B29">
              <w:rPr>
                <w:rFonts w:ascii="Calibri" w:hAnsi="Calibri"/>
                <w:sz w:val="20"/>
                <w:szCs w:val="20"/>
              </w:rPr>
              <w:t xml:space="preserve">5, </w:t>
            </w:r>
            <w:r w:rsidR="003050AA">
              <w:rPr>
                <w:rFonts w:ascii="Calibri" w:hAnsi="Calibri"/>
                <w:sz w:val="20"/>
                <w:szCs w:val="20"/>
              </w:rPr>
              <w:t xml:space="preserve">6, </w:t>
            </w:r>
            <w:r w:rsidR="00AC7C19">
              <w:rPr>
                <w:rFonts w:ascii="Calibri" w:hAnsi="Calibri"/>
                <w:sz w:val="20"/>
                <w:szCs w:val="20"/>
              </w:rPr>
              <w:t xml:space="preserve">8, 10, 11, 13, </w:t>
            </w:r>
            <w:r w:rsidR="00205874">
              <w:rPr>
                <w:rFonts w:ascii="Calibri" w:hAnsi="Calibri"/>
                <w:sz w:val="20"/>
                <w:szCs w:val="20"/>
              </w:rPr>
              <w:t xml:space="preserve">15, </w:t>
            </w:r>
            <w:r>
              <w:rPr>
                <w:rFonts w:ascii="Calibri" w:hAnsi="Calibri"/>
                <w:sz w:val="20"/>
                <w:szCs w:val="20"/>
              </w:rPr>
              <w:t xml:space="preserve">20, 21, </w:t>
            </w:r>
            <w:r w:rsidR="00205874">
              <w:rPr>
                <w:rFonts w:ascii="Calibri" w:hAnsi="Calibri"/>
                <w:sz w:val="20"/>
                <w:szCs w:val="20"/>
              </w:rPr>
              <w:t xml:space="preserve">22, </w:t>
            </w:r>
            <w:r>
              <w:rPr>
                <w:rFonts w:ascii="Calibri" w:hAnsi="Calibri"/>
                <w:sz w:val="20"/>
                <w:szCs w:val="20"/>
              </w:rPr>
              <w:t xml:space="preserve">24, </w:t>
            </w:r>
            <w:r w:rsidR="00205874">
              <w:rPr>
                <w:rFonts w:ascii="Calibri" w:hAnsi="Calibri"/>
                <w:sz w:val="20"/>
                <w:szCs w:val="20"/>
              </w:rPr>
              <w:t>25, 26, 27</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factors affecting maternal and child health (0-5 years)</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cs="Arial"/>
                <w:b/>
                <w:sz w:val="24"/>
                <w:szCs w:val="24"/>
                <w:lang w:val="en-GB" w:eastAsia="en-GB"/>
              </w:rPr>
            </w:pPr>
            <w:r w:rsidRPr="00967377">
              <w:rPr>
                <w:rFonts w:ascii="Calibri" w:eastAsia="Calibri" w:hAnsi="Calibri" w:cs="Arial"/>
                <w:b/>
                <w:sz w:val="24"/>
                <w:szCs w:val="24"/>
                <w:lang w:val="en-IE"/>
              </w:rPr>
              <w:t xml:space="preserve">Mother Child Mortality </w:t>
            </w:r>
          </w:p>
          <w:p w:rsidR="00C47E45" w:rsidRPr="00967377" w:rsidRDefault="00C47E45" w:rsidP="00722FD1">
            <w:pPr>
              <w:spacing w:after="0" w:line="240" w:lineRule="auto"/>
              <w:ind w:right="-35"/>
              <w:rPr>
                <w:rFonts w:ascii="Calibri" w:eastAsia="Calibri" w:hAnsi="Calibri"/>
                <w:b/>
                <w:sz w:val="24"/>
                <w:szCs w:val="24"/>
                <w:lang w:val="en-IE"/>
              </w:rPr>
            </w:pP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3.</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B6366D" w:rsidP="00722FD1">
            <w:pPr>
              <w:spacing w:after="0" w:line="240" w:lineRule="auto"/>
              <w:ind w:right="-35"/>
              <w:rPr>
                <w:rFonts w:ascii="Calibri" w:hAnsi="Calibri"/>
                <w:sz w:val="20"/>
                <w:szCs w:val="20"/>
              </w:rPr>
            </w:pPr>
            <w:r>
              <w:rPr>
                <w:rFonts w:ascii="Calibri" w:hAnsi="Calibri"/>
                <w:sz w:val="20"/>
                <w:szCs w:val="20"/>
              </w:rPr>
              <w:t>1,</w:t>
            </w:r>
            <w:r w:rsidR="008D7C93">
              <w:rPr>
                <w:rFonts w:ascii="Calibri" w:hAnsi="Calibri"/>
                <w:sz w:val="20"/>
                <w:szCs w:val="20"/>
              </w:rPr>
              <w:t xml:space="preserve"> 2, 3, 4, 5, 6, 12, 17, 20, 28, 29, 30, </w:t>
            </w:r>
            <w:r>
              <w:rPr>
                <w:rFonts w:ascii="Calibri" w:hAnsi="Calibri"/>
                <w:sz w:val="20"/>
                <w:szCs w:val="20"/>
              </w:rPr>
              <w:t>31, 32</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households headed by a woman</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cs="Arial"/>
                <w:b/>
                <w:sz w:val="24"/>
                <w:szCs w:val="24"/>
                <w:lang w:val="en-IE"/>
              </w:rPr>
              <w:t>Women Headed Household</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4.</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BD33C6" w:rsidP="00722FD1">
            <w:pPr>
              <w:spacing w:after="0" w:line="240" w:lineRule="auto"/>
              <w:ind w:right="-35"/>
              <w:rPr>
                <w:rFonts w:ascii="Calibri" w:hAnsi="Calibri"/>
                <w:sz w:val="20"/>
                <w:szCs w:val="20"/>
              </w:rPr>
            </w:pPr>
            <w:r>
              <w:rPr>
                <w:rFonts w:ascii="Calibri" w:hAnsi="Calibri"/>
                <w:sz w:val="20"/>
                <w:szCs w:val="20"/>
              </w:rPr>
              <w:t xml:space="preserve">24, 33, </w:t>
            </w:r>
            <w:r w:rsidR="00EC3F6D">
              <w:rPr>
                <w:rFonts w:ascii="Calibri" w:hAnsi="Calibri"/>
                <w:sz w:val="20"/>
                <w:szCs w:val="20"/>
              </w:rPr>
              <w:t>34, 35</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children marginalized by special contexts, such as orphans or street children</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Children (with special needs)</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bCs/>
                <w:sz w:val="20"/>
                <w:szCs w:val="20"/>
              </w:rPr>
            </w:pPr>
            <w:r w:rsidRPr="00967377">
              <w:rPr>
                <w:bCs/>
                <w:sz w:val="20"/>
                <w:szCs w:val="20"/>
              </w:rPr>
              <w:t>5.</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40421B" w:rsidP="00722FD1">
            <w:pPr>
              <w:spacing w:after="0" w:line="240" w:lineRule="auto"/>
              <w:ind w:right="-35"/>
              <w:rPr>
                <w:rFonts w:ascii="Calibri" w:hAnsi="Calibri"/>
                <w:sz w:val="20"/>
                <w:szCs w:val="20"/>
              </w:rPr>
            </w:pPr>
            <w:r>
              <w:rPr>
                <w:rFonts w:ascii="Calibri" w:hAnsi="Calibri"/>
                <w:sz w:val="20"/>
                <w:szCs w:val="20"/>
              </w:rPr>
              <w:t>3, 28, 30, 36, 37</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older age</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Aged</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6.</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EB75A1" w:rsidP="00722FD1">
            <w:pPr>
              <w:spacing w:after="0" w:line="240" w:lineRule="auto"/>
              <w:ind w:right="-35"/>
              <w:rPr>
                <w:rFonts w:ascii="Calibri" w:hAnsi="Calibri"/>
                <w:sz w:val="20"/>
                <w:szCs w:val="20"/>
              </w:rPr>
            </w:pPr>
            <w:r>
              <w:rPr>
                <w:rFonts w:ascii="Calibri" w:hAnsi="Calibri"/>
                <w:sz w:val="20"/>
                <w:szCs w:val="20"/>
              </w:rPr>
              <w:t xml:space="preserve">3, 10, 20, 28, 33, </w:t>
            </w:r>
            <w:r w:rsidR="00BB7FA7">
              <w:rPr>
                <w:rFonts w:ascii="Calibri" w:hAnsi="Calibri"/>
                <w:sz w:val="20"/>
                <w:szCs w:val="20"/>
              </w:rPr>
              <w:t>38</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younger age without identifying gender</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Youth</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7.</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845737" w:rsidP="00A33EED">
            <w:pPr>
              <w:spacing w:after="0" w:line="240" w:lineRule="auto"/>
              <w:ind w:right="-35"/>
              <w:rPr>
                <w:rFonts w:ascii="Calibri" w:hAnsi="Calibri"/>
                <w:sz w:val="20"/>
                <w:szCs w:val="20"/>
              </w:rPr>
            </w:pPr>
            <w:r>
              <w:rPr>
                <w:rFonts w:ascii="Calibri" w:hAnsi="Calibri"/>
                <w:sz w:val="20"/>
                <w:szCs w:val="20"/>
              </w:rPr>
              <w:t>2, 3, 6,</w:t>
            </w:r>
            <w:r w:rsidR="00F666F7">
              <w:rPr>
                <w:rFonts w:ascii="Calibri" w:hAnsi="Calibri"/>
                <w:sz w:val="20"/>
                <w:szCs w:val="20"/>
              </w:rPr>
              <w:t xml:space="preserve"> 10, 12, </w:t>
            </w:r>
            <w:r>
              <w:rPr>
                <w:rFonts w:ascii="Calibri" w:hAnsi="Calibri"/>
                <w:sz w:val="20"/>
                <w:szCs w:val="20"/>
              </w:rPr>
              <w:t xml:space="preserve">20, 39, 40, </w:t>
            </w:r>
            <w:r w:rsidR="00F666F7">
              <w:rPr>
                <w:rFonts w:ascii="Calibri" w:hAnsi="Calibri"/>
                <w:sz w:val="20"/>
                <w:szCs w:val="20"/>
              </w:rPr>
              <w:t>41</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non-majority groups in terms of culture, race or ethnic identity</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Ethnic Minorities</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8.</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C1201C" w:rsidP="00722FD1">
            <w:pPr>
              <w:spacing w:after="0" w:line="240" w:lineRule="auto"/>
              <w:ind w:right="-35"/>
              <w:rPr>
                <w:rFonts w:ascii="Calibri" w:hAnsi="Calibri"/>
                <w:sz w:val="20"/>
                <w:szCs w:val="20"/>
              </w:rPr>
            </w:pPr>
            <w:r>
              <w:rPr>
                <w:rFonts w:ascii="Calibri" w:hAnsi="Calibri"/>
                <w:sz w:val="20"/>
                <w:szCs w:val="20"/>
              </w:rPr>
              <w:t>20, 40</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 xml:space="preserve">Referring to people who, because of civil unrest or unsustainable </w:t>
            </w:r>
            <w:r w:rsidRPr="00967377">
              <w:rPr>
                <w:rFonts w:ascii="Calibri" w:hAnsi="Calibri"/>
                <w:sz w:val="20"/>
                <w:szCs w:val="20"/>
              </w:rPr>
              <w:lastRenderedPageBreak/>
              <w:t>livelihoods, have been displaced from their previous residence</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lastRenderedPageBreak/>
              <w:t>Displaced Populations</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9.</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F25784" w:rsidP="00722FD1">
            <w:pPr>
              <w:spacing w:after="0" w:line="240" w:lineRule="auto"/>
              <w:ind w:right="-35"/>
              <w:rPr>
                <w:rFonts w:ascii="Calibri" w:hAnsi="Calibri"/>
                <w:sz w:val="20"/>
                <w:szCs w:val="20"/>
              </w:rPr>
            </w:pPr>
            <w:r>
              <w:rPr>
                <w:rFonts w:ascii="Calibri" w:hAnsi="Calibri"/>
                <w:sz w:val="20"/>
                <w:szCs w:val="20"/>
              </w:rPr>
              <w:lastRenderedPageBreak/>
              <w:t xml:space="preserve">1, </w:t>
            </w:r>
            <w:r w:rsidR="00CF70B6">
              <w:rPr>
                <w:rFonts w:ascii="Calibri" w:hAnsi="Calibri"/>
                <w:sz w:val="20"/>
                <w:szCs w:val="20"/>
              </w:rPr>
              <w:t xml:space="preserve">4, 6, </w:t>
            </w:r>
            <w:r w:rsidR="00845737">
              <w:rPr>
                <w:rFonts w:ascii="Calibri" w:hAnsi="Calibri"/>
                <w:sz w:val="20"/>
                <w:szCs w:val="20"/>
              </w:rPr>
              <w:t xml:space="preserve">36, </w:t>
            </w:r>
            <w:r w:rsidR="00CF70B6">
              <w:rPr>
                <w:rFonts w:ascii="Calibri" w:hAnsi="Calibri"/>
                <w:sz w:val="20"/>
                <w:szCs w:val="20"/>
              </w:rPr>
              <w:t xml:space="preserve">42, </w:t>
            </w:r>
            <w:r w:rsidR="00B82B7D">
              <w:rPr>
                <w:rFonts w:ascii="Calibri" w:hAnsi="Calibri"/>
                <w:sz w:val="20"/>
                <w:szCs w:val="20"/>
              </w:rPr>
              <w:t>43</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people living far from health services, either in time or distance</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Living Away from Services</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10.</w:t>
            </w:r>
          </w:p>
        </w:tc>
      </w:tr>
      <w:tr w:rsidR="00C47E45" w:rsidRPr="00CA3354" w:rsidTr="00722FD1">
        <w:trPr>
          <w:trHeight w:val="70"/>
        </w:trPr>
        <w:tc>
          <w:tcPr>
            <w:tcW w:w="2916" w:type="dxa"/>
            <w:tcBorders>
              <w:top w:val="double" w:sz="4" w:space="0" w:color="F79646"/>
              <w:left w:val="double" w:sz="4" w:space="0" w:color="F79646"/>
              <w:bottom w:val="double" w:sz="4" w:space="0" w:color="F79646"/>
              <w:right w:val="double" w:sz="4" w:space="0" w:color="F79646"/>
            </w:tcBorders>
          </w:tcPr>
          <w:p w:rsidR="00C47E45" w:rsidRPr="00967377" w:rsidRDefault="001664A1" w:rsidP="00722FD1">
            <w:pPr>
              <w:spacing w:after="0" w:line="240" w:lineRule="auto"/>
              <w:ind w:right="-35"/>
              <w:rPr>
                <w:rFonts w:ascii="Calibri" w:hAnsi="Calibri"/>
                <w:sz w:val="20"/>
                <w:szCs w:val="20"/>
              </w:rPr>
            </w:pPr>
            <w:r>
              <w:rPr>
                <w:rFonts w:ascii="Calibri" w:hAnsi="Calibri"/>
                <w:sz w:val="20"/>
                <w:szCs w:val="20"/>
              </w:rPr>
              <w:t>6, 9</w:t>
            </w:r>
          </w:p>
        </w:tc>
        <w:tc>
          <w:tcPr>
            <w:tcW w:w="243" w:type="dxa"/>
            <w:tcBorders>
              <w:top w:val="double" w:sz="6" w:space="0" w:color="F79646"/>
              <w:left w:val="double" w:sz="4" w:space="0" w:color="F79646"/>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double" w:sz="6"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people who have an illness which requires continuing need for care</w:t>
            </w:r>
          </w:p>
        </w:tc>
        <w:tc>
          <w:tcPr>
            <w:tcW w:w="1980" w:type="dxa"/>
            <w:tcBorders>
              <w:top w:val="double" w:sz="6" w:space="0" w:color="F79646"/>
              <w:left w:val="single" w:sz="8" w:space="0" w:color="F79646"/>
              <w:bottom w:val="double" w:sz="6"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Suffering from Chronic Illness</w:t>
            </w:r>
          </w:p>
        </w:tc>
        <w:tc>
          <w:tcPr>
            <w:tcW w:w="630" w:type="dxa"/>
            <w:tcBorders>
              <w:top w:val="double" w:sz="6" w:space="0" w:color="F79646"/>
              <w:left w:val="nil"/>
              <w:bottom w:val="double" w:sz="6"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11.</w:t>
            </w:r>
          </w:p>
        </w:tc>
      </w:tr>
      <w:tr w:rsidR="00C47E45" w:rsidRPr="00CA3354" w:rsidTr="00722FD1">
        <w:trPr>
          <w:trHeight w:val="70"/>
        </w:trPr>
        <w:tc>
          <w:tcPr>
            <w:tcW w:w="2916" w:type="dxa"/>
            <w:tcBorders>
              <w:top w:val="double" w:sz="4" w:space="0" w:color="F79646"/>
              <w:left w:val="double" w:sz="4" w:space="0" w:color="F79646"/>
              <w:bottom w:val="single" w:sz="8" w:space="0" w:color="F79646"/>
              <w:right w:val="double" w:sz="4" w:space="0" w:color="F79646"/>
            </w:tcBorders>
          </w:tcPr>
          <w:p w:rsidR="00C47E45" w:rsidRPr="00967377" w:rsidRDefault="00C56611" w:rsidP="00722FD1">
            <w:pPr>
              <w:spacing w:after="0" w:line="240" w:lineRule="auto"/>
              <w:ind w:right="-35"/>
              <w:rPr>
                <w:rFonts w:ascii="Calibri" w:hAnsi="Calibri"/>
                <w:sz w:val="20"/>
                <w:szCs w:val="20"/>
              </w:rPr>
            </w:pPr>
            <w:r>
              <w:rPr>
                <w:rFonts w:ascii="Calibri" w:hAnsi="Calibri"/>
                <w:sz w:val="20"/>
                <w:szCs w:val="20"/>
              </w:rPr>
              <w:t>3,</w:t>
            </w:r>
            <w:r w:rsidR="00537FB9">
              <w:rPr>
                <w:rFonts w:ascii="Calibri" w:hAnsi="Calibri"/>
                <w:sz w:val="20"/>
                <w:szCs w:val="20"/>
              </w:rPr>
              <w:t xml:space="preserve"> 13,</w:t>
            </w:r>
            <w:r>
              <w:rPr>
                <w:rFonts w:ascii="Calibri" w:hAnsi="Calibri"/>
                <w:sz w:val="20"/>
                <w:szCs w:val="20"/>
              </w:rPr>
              <w:t xml:space="preserve"> </w:t>
            </w:r>
            <w:r w:rsidR="00190C5D">
              <w:rPr>
                <w:rFonts w:ascii="Calibri" w:hAnsi="Calibri"/>
                <w:sz w:val="20"/>
                <w:szCs w:val="20"/>
              </w:rPr>
              <w:t xml:space="preserve">20, </w:t>
            </w:r>
            <w:r>
              <w:rPr>
                <w:rFonts w:ascii="Calibri" w:hAnsi="Calibri"/>
                <w:sz w:val="20"/>
                <w:szCs w:val="20"/>
              </w:rPr>
              <w:t xml:space="preserve">28, 34, </w:t>
            </w:r>
            <w:r w:rsidR="00190C5D">
              <w:rPr>
                <w:rFonts w:ascii="Calibri" w:hAnsi="Calibri"/>
                <w:sz w:val="20"/>
                <w:szCs w:val="20"/>
              </w:rPr>
              <w:t xml:space="preserve">44, </w:t>
            </w:r>
            <w:r w:rsidR="00537FB9">
              <w:rPr>
                <w:rFonts w:ascii="Calibri" w:hAnsi="Calibri"/>
                <w:sz w:val="20"/>
                <w:szCs w:val="20"/>
              </w:rPr>
              <w:t xml:space="preserve">45, </w:t>
            </w:r>
            <w:r w:rsidR="007F0C9E">
              <w:rPr>
                <w:rFonts w:ascii="Calibri" w:hAnsi="Calibri"/>
                <w:sz w:val="20"/>
                <w:szCs w:val="20"/>
              </w:rPr>
              <w:t>46, 47, 48</w:t>
            </w:r>
          </w:p>
        </w:tc>
        <w:tc>
          <w:tcPr>
            <w:tcW w:w="243" w:type="dxa"/>
            <w:tcBorders>
              <w:top w:val="double" w:sz="6" w:space="0" w:color="F79646"/>
              <w:left w:val="double" w:sz="4" w:space="0" w:color="F79646"/>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017" w:type="dxa"/>
            <w:tcBorders>
              <w:top w:val="double" w:sz="6" w:space="0" w:color="F79646"/>
              <w:left w:val="nil"/>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p>
        </w:tc>
        <w:tc>
          <w:tcPr>
            <w:tcW w:w="1598" w:type="dxa"/>
            <w:tcBorders>
              <w:top w:val="double" w:sz="6" w:space="0" w:color="F79646"/>
              <w:left w:val="nil"/>
              <w:bottom w:val="single" w:sz="8" w:space="0" w:color="F79646"/>
              <w:right w:val="nil"/>
            </w:tcBorders>
          </w:tcPr>
          <w:p w:rsidR="00C47E45" w:rsidRPr="00967377" w:rsidRDefault="00C47E45" w:rsidP="00722FD1">
            <w:pPr>
              <w:spacing w:after="0" w:line="240" w:lineRule="auto"/>
              <w:ind w:right="-35"/>
              <w:rPr>
                <w:rFonts w:ascii="Calibri" w:hAnsi="Calibri"/>
                <w:sz w:val="20"/>
                <w:szCs w:val="20"/>
              </w:rPr>
            </w:pPr>
            <w:r w:rsidRPr="00967377">
              <w:rPr>
                <w:rFonts w:ascii="Calibri" w:hAnsi="Calibri"/>
                <w:sz w:val="20"/>
                <w:szCs w:val="20"/>
              </w:rPr>
              <w:t>Referring to persons with disabilities, including physical, sensory, intellectual or mental health conditions, and including synonyms of disability</w:t>
            </w:r>
          </w:p>
        </w:tc>
        <w:tc>
          <w:tcPr>
            <w:tcW w:w="1980" w:type="dxa"/>
            <w:tcBorders>
              <w:top w:val="double" w:sz="6" w:space="0" w:color="F79646"/>
              <w:left w:val="single" w:sz="8" w:space="0" w:color="F79646"/>
              <w:bottom w:val="single" w:sz="8" w:space="0" w:color="F79646"/>
              <w:right w:val="single" w:sz="8" w:space="0" w:color="F79646"/>
            </w:tcBorders>
          </w:tcPr>
          <w:p w:rsidR="00C47E45" w:rsidRPr="00967377" w:rsidRDefault="00C47E45" w:rsidP="00722FD1">
            <w:pPr>
              <w:spacing w:after="0" w:line="240" w:lineRule="auto"/>
              <w:ind w:right="-35"/>
              <w:rPr>
                <w:rFonts w:ascii="Calibri" w:eastAsia="Calibri" w:hAnsi="Calibri"/>
                <w:b/>
                <w:sz w:val="24"/>
                <w:szCs w:val="24"/>
                <w:lang w:val="en-IE"/>
              </w:rPr>
            </w:pPr>
            <w:r w:rsidRPr="00967377">
              <w:rPr>
                <w:rFonts w:ascii="Calibri" w:eastAsia="Calibri" w:hAnsi="Calibri"/>
                <w:b/>
                <w:sz w:val="24"/>
                <w:szCs w:val="24"/>
                <w:lang w:val="en-IE"/>
              </w:rPr>
              <w:t xml:space="preserve">Disabled </w:t>
            </w:r>
          </w:p>
        </w:tc>
        <w:tc>
          <w:tcPr>
            <w:tcW w:w="630" w:type="dxa"/>
            <w:tcBorders>
              <w:top w:val="double" w:sz="6" w:space="0" w:color="F79646"/>
              <w:left w:val="nil"/>
              <w:bottom w:val="single" w:sz="8" w:space="0" w:color="F79646"/>
              <w:right w:val="double" w:sz="4" w:space="0" w:color="F79646"/>
            </w:tcBorders>
          </w:tcPr>
          <w:p w:rsidR="00C47E45" w:rsidRPr="00967377" w:rsidRDefault="00C47E45" w:rsidP="00722FD1">
            <w:pPr>
              <w:spacing w:after="0" w:line="240" w:lineRule="auto"/>
              <w:ind w:right="-35"/>
              <w:rPr>
                <w:sz w:val="20"/>
                <w:szCs w:val="20"/>
              </w:rPr>
            </w:pPr>
            <w:r w:rsidRPr="00967377">
              <w:rPr>
                <w:sz w:val="20"/>
                <w:szCs w:val="20"/>
              </w:rPr>
              <w:t>12.</w:t>
            </w:r>
          </w:p>
        </w:tc>
      </w:tr>
    </w:tbl>
    <w:p w:rsidR="00C47E45" w:rsidRDefault="00C47E45" w:rsidP="00C47E45">
      <w:pPr>
        <w:spacing w:line="240" w:lineRule="auto"/>
        <w:ind w:right="261"/>
        <w:rPr>
          <w:rFonts w:ascii="Times New Roman" w:hAnsi="Times New Roman"/>
          <w:sz w:val="24"/>
          <w:szCs w:val="24"/>
        </w:rPr>
      </w:pPr>
    </w:p>
    <w:p w:rsidR="00C47E45" w:rsidRPr="00CE5B15" w:rsidRDefault="00C47E45" w:rsidP="00C47E45">
      <w:pPr>
        <w:spacing w:line="240" w:lineRule="auto"/>
        <w:ind w:right="261"/>
        <w:rPr>
          <w:rFonts w:ascii="Times New Roman" w:hAnsi="Times New Roman"/>
          <w:sz w:val="24"/>
          <w:szCs w:val="24"/>
        </w:rPr>
      </w:pPr>
    </w:p>
    <w:p w:rsidR="00C47E45" w:rsidRPr="00DD7687" w:rsidRDefault="00C47E45" w:rsidP="00C47E45">
      <w:pPr>
        <w:pStyle w:val="Bezodstpw1"/>
        <w:jc w:val="both"/>
      </w:pPr>
    </w:p>
    <w:p w:rsidR="00C47E45" w:rsidRPr="009D0BEF" w:rsidRDefault="00C47E45" w:rsidP="00C47E45">
      <w:pPr>
        <w:pStyle w:val="NoSpacing"/>
        <w:jc w:val="both"/>
        <w:rPr>
          <w:rFonts w:ascii="Times New Roman" w:hAnsi="Times New Roman"/>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pStyle w:val="NoSpacing"/>
        <w:jc w:val="both"/>
        <w:rPr>
          <w:rFonts w:ascii="Times New Roman" w:hAnsi="Times New Roman"/>
          <w:b/>
          <w:sz w:val="24"/>
          <w:szCs w:val="24"/>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Pr>
        <w:rPr>
          <w:u w:val="single"/>
          <w:lang w:val="en-IE"/>
        </w:rPr>
      </w:pPr>
    </w:p>
    <w:p w:rsidR="00C47E45" w:rsidRDefault="00C47E45" w:rsidP="00C47E45"/>
    <w:p w:rsidR="00A17E00" w:rsidRDefault="00DE656E"/>
    <w:p w:rsidR="00A33EED" w:rsidRDefault="00A33EED"/>
    <w:p w:rsidR="00A33EED" w:rsidRDefault="00A33EED"/>
    <w:p w:rsidR="00A33EED" w:rsidRDefault="00A33EED">
      <w:pPr>
        <w:rPr>
          <w:b/>
        </w:rPr>
      </w:pPr>
      <w:r w:rsidRPr="00A33EED">
        <w:rPr>
          <w:b/>
        </w:rPr>
        <w:lastRenderedPageBreak/>
        <w:t>References</w:t>
      </w:r>
    </w:p>
    <w:p w:rsidR="00887B4E" w:rsidRDefault="00887B4E" w:rsidP="00887B4E">
      <w:pPr>
        <w:numPr>
          <w:ilvl w:val="0"/>
          <w:numId w:val="2"/>
        </w:numPr>
        <w:spacing w:line="240" w:lineRule="auto"/>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Ensor T, Cooper S (2004) Overcoming barriers to health service access and influencing the demand side through purchasing. Health, Nutrition and Population (HNP) Discussion Paper.</w:t>
      </w:r>
    </w:p>
    <w:p w:rsidR="00887B4E" w:rsidRDefault="00887B4E" w:rsidP="00887B4E">
      <w:pPr>
        <w:numPr>
          <w:ilvl w:val="0"/>
          <w:numId w:val="2"/>
        </w:numPr>
        <w:spacing w:line="240" w:lineRule="auto"/>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Braveman</w:t>
      </w:r>
      <w:proofErr w:type="spellEnd"/>
      <w:r w:rsidRPr="00786463">
        <w:rPr>
          <w:rFonts w:ascii="Times New Roman" w:eastAsia="Calibri" w:hAnsi="Times New Roman"/>
          <w:sz w:val="24"/>
          <w:szCs w:val="24"/>
          <w:lang w:bidi="ar-SA"/>
        </w:rPr>
        <w:t xml:space="preserve"> P (2003) Monitoring equity in health and healthcare: A conceptual framework. Journal of Health, Population &amp; Nutrition 21(3): 181-192.</w:t>
      </w:r>
    </w:p>
    <w:p w:rsidR="00887B4E" w:rsidRPr="00786463" w:rsidRDefault="00887B4E" w:rsidP="00887B4E">
      <w:pPr>
        <w:numPr>
          <w:ilvl w:val="0"/>
          <w:numId w:val="2"/>
        </w:numPr>
        <w:spacing w:line="240" w:lineRule="auto"/>
        <w:contextualSpacing/>
        <w:rPr>
          <w:rFonts w:ascii="Times New Roman" w:hAnsi="Times New Roman"/>
          <w:sz w:val="24"/>
          <w:szCs w:val="24"/>
          <w:lang w:bidi="ar-SA"/>
        </w:rPr>
      </w:pPr>
      <w:r w:rsidRPr="00786463">
        <w:rPr>
          <w:rFonts w:ascii="Times New Roman" w:hAnsi="Times New Roman"/>
          <w:sz w:val="24"/>
          <w:szCs w:val="24"/>
          <w:lang w:bidi="ar-SA"/>
        </w:rPr>
        <w:t xml:space="preserve">United Nations Economic and Social Council (2000) Substantive Issues Arising in the Implementation of the International Covenant on Economic, Social and Cultural Rights. General Comment No. 14. The Right to the Highest Attainable Standard of Health (Article 12 of the International Covenant on Economic, Social and Cultural Rights). Available: </w:t>
      </w:r>
      <w:hyperlink r:id="rId6" w:history="1">
        <w:r w:rsidR="00E5098E" w:rsidRPr="001943F7">
          <w:rPr>
            <w:rStyle w:val="Hyperlink"/>
            <w:rFonts w:ascii="Times New Roman" w:hAnsi="Times New Roman"/>
            <w:sz w:val="24"/>
            <w:szCs w:val="24"/>
            <w:lang w:bidi="ar-SA"/>
          </w:rPr>
          <w:t>http://www.unhchr.ch/tbs/doc.nsf/%28symbol%29/E.C.12.2000.4.En</w:t>
        </w:r>
      </w:hyperlink>
      <w:r w:rsidR="00E5098E">
        <w:rPr>
          <w:rFonts w:ascii="Times New Roman" w:hAnsi="Times New Roman"/>
          <w:sz w:val="24"/>
          <w:szCs w:val="24"/>
          <w:lang w:bidi="ar-SA"/>
        </w:rPr>
        <w:t xml:space="preserve">. Accessed: April 29, 2012. </w:t>
      </w:r>
    </w:p>
    <w:p w:rsidR="00887B4E" w:rsidRPr="00786463" w:rsidRDefault="00887B4E" w:rsidP="00887B4E">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Ensor T, Cooper S (2004) Overcoming barriers to health service access: Influencing the</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 xml:space="preserve">demand side. </w:t>
      </w:r>
      <w:r w:rsidRPr="00786463">
        <w:rPr>
          <w:rFonts w:ascii="Times New Roman" w:eastAsia="Calibri" w:hAnsi="Times New Roman"/>
          <w:iCs/>
          <w:sz w:val="24"/>
          <w:szCs w:val="24"/>
          <w:lang w:bidi="ar-SA"/>
        </w:rPr>
        <w:t>Health Policy &amp; Planning</w:t>
      </w:r>
      <w:r w:rsidRPr="00786463">
        <w:rPr>
          <w:rFonts w:ascii="Times New Roman" w:eastAsia="Calibri" w:hAnsi="Times New Roman"/>
          <w:sz w:val="24"/>
          <w:szCs w:val="24"/>
          <w:lang w:bidi="ar-SA"/>
        </w:rPr>
        <w:t xml:space="preserve"> 19(2): 69-79.</w:t>
      </w:r>
    </w:p>
    <w:p w:rsidR="00887B4E" w:rsidRPr="00786463" w:rsidRDefault="00887B4E" w:rsidP="00887B4E">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Marmot M (2007) Achieving health equity: From root causes to fair outcomes. </w:t>
      </w:r>
      <w:r w:rsidRPr="00786463">
        <w:rPr>
          <w:rFonts w:ascii="Times New Roman" w:eastAsia="Calibri" w:hAnsi="Times New Roman"/>
          <w:iCs/>
          <w:sz w:val="24"/>
          <w:szCs w:val="24"/>
          <w:lang w:bidi="ar-SA"/>
        </w:rPr>
        <w:t>Lancet</w:t>
      </w:r>
      <w:r w:rsidRPr="00786463">
        <w:rPr>
          <w:rFonts w:ascii="Times New Roman" w:eastAsia="Calibri" w:hAnsi="Times New Roman"/>
          <w:sz w:val="24"/>
          <w:szCs w:val="24"/>
          <w:lang w:bidi="ar-SA"/>
        </w:rPr>
        <w:t xml:space="preserve"> 370(9593): 1153-63.</w:t>
      </w:r>
    </w:p>
    <w:p w:rsidR="00A134F9" w:rsidRPr="00786463" w:rsidRDefault="00A134F9" w:rsidP="00A134F9">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World Health Organization (2010) </w:t>
      </w:r>
      <w:r w:rsidRPr="00786463">
        <w:rPr>
          <w:rFonts w:ascii="Times New Roman" w:eastAsia="Calibri" w:hAnsi="Times New Roman"/>
          <w:iCs/>
          <w:sz w:val="24"/>
          <w:szCs w:val="24"/>
          <w:lang w:bidi="ar-SA"/>
        </w:rPr>
        <w:t xml:space="preserve">Equity, Social Determinants and Public Health </w:t>
      </w:r>
      <w:proofErr w:type="spellStart"/>
      <w:r w:rsidRPr="00786463">
        <w:rPr>
          <w:rFonts w:ascii="Times New Roman" w:eastAsia="Calibri" w:hAnsi="Times New Roman"/>
          <w:iCs/>
          <w:sz w:val="24"/>
          <w:szCs w:val="24"/>
          <w:lang w:bidi="ar-SA"/>
        </w:rPr>
        <w:t>Programmes</w:t>
      </w:r>
      <w:proofErr w:type="spellEnd"/>
      <w:r w:rsidRPr="00786463">
        <w:rPr>
          <w:rFonts w:ascii="Times New Roman" w:eastAsia="Calibri" w:hAnsi="Times New Roman"/>
          <w:sz w:val="24"/>
          <w:szCs w:val="24"/>
          <w:lang w:bidi="ar-SA"/>
        </w:rPr>
        <w:t>.</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World Health Organization.</w:t>
      </w:r>
    </w:p>
    <w:p w:rsidR="00A134F9" w:rsidRPr="00786463" w:rsidRDefault="00A134F9" w:rsidP="00A134F9">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Bloom G (2001) Equity in health in unequal societies: Meeting health needs in contexts of social</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 xml:space="preserve">change. </w:t>
      </w:r>
      <w:r w:rsidRPr="00786463">
        <w:rPr>
          <w:rFonts w:ascii="Times New Roman" w:eastAsia="Calibri" w:hAnsi="Times New Roman"/>
          <w:iCs/>
          <w:sz w:val="24"/>
          <w:szCs w:val="24"/>
          <w:lang w:bidi="ar-SA"/>
        </w:rPr>
        <w:t xml:space="preserve">Health Policy </w:t>
      </w:r>
      <w:r w:rsidRPr="00786463">
        <w:rPr>
          <w:rFonts w:ascii="Times New Roman" w:eastAsia="Calibri" w:hAnsi="Times New Roman"/>
          <w:sz w:val="24"/>
          <w:szCs w:val="24"/>
          <w:lang w:bidi="ar-SA"/>
        </w:rPr>
        <w:t>57: 205-224.</w:t>
      </w:r>
    </w:p>
    <w:p w:rsidR="00A134F9" w:rsidRPr="00786463" w:rsidRDefault="00A134F9" w:rsidP="00A134F9">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Hunt P (2007) </w:t>
      </w:r>
      <w:r w:rsidRPr="00786463">
        <w:rPr>
          <w:rFonts w:ascii="Times New Roman" w:eastAsia="Calibri" w:hAnsi="Times New Roman"/>
          <w:iCs/>
          <w:sz w:val="24"/>
          <w:szCs w:val="24"/>
          <w:lang w:bidi="ar-SA"/>
        </w:rPr>
        <w:t>Report of the Special Rapporteur on the Right of Everyone to the Enjoyment of the</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Highest Attainable Standard of Physical and Mental Health</w:t>
      </w:r>
      <w:r w:rsidRPr="00786463">
        <w:rPr>
          <w:rFonts w:ascii="Times New Roman" w:eastAsia="Calibri" w:hAnsi="Times New Roman"/>
          <w:i/>
          <w:iCs/>
          <w:sz w:val="24"/>
          <w:szCs w:val="24"/>
          <w:lang w:bidi="ar-SA"/>
        </w:rPr>
        <w:t xml:space="preserve">. </w:t>
      </w:r>
      <w:r w:rsidRPr="00786463">
        <w:rPr>
          <w:rFonts w:ascii="Times New Roman" w:eastAsia="Calibri" w:hAnsi="Times New Roman"/>
          <w:sz w:val="24"/>
          <w:szCs w:val="24"/>
          <w:lang w:bidi="ar-SA"/>
        </w:rPr>
        <w:t>United Nations General Assembly.</w:t>
      </w:r>
    </w:p>
    <w:p w:rsidR="00A134F9" w:rsidRPr="00786463" w:rsidRDefault="00A134F9" w:rsidP="00A134F9">
      <w:pPr>
        <w:numPr>
          <w:ilvl w:val="0"/>
          <w:numId w:val="2"/>
        </w:numPr>
        <w:spacing w:line="240" w:lineRule="auto"/>
        <w:contextualSpacing/>
        <w:rPr>
          <w:rFonts w:ascii="Times New Roman" w:hAnsi="Times New Roman"/>
          <w:b/>
          <w:sz w:val="24"/>
          <w:szCs w:val="24"/>
          <w:lang w:bidi="ar-SA"/>
        </w:rPr>
      </w:pPr>
      <w:proofErr w:type="spellStart"/>
      <w:r w:rsidRPr="00786463">
        <w:rPr>
          <w:rFonts w:ascii="Times New Roman" w:eastAsia="Calibri" w:hAnsi="Times New Roman"/>
          <w:sz w:val="24"/>
          <w:szCs w:val="24"/>
          <w:lang w:bidi="ar-SA"/>
        </w:rPr>
        <w:t>Goudge</w:t>
      </w:r>
      <w:proofErr w:type="spellEnd"/>
      <w:r w:rsidRPr="00786463">
        <w:rPr>
          <w:rFonts w:ascii="Times New Roman" w:eastAsia="Calibri" w:hAnsi="Times New Roman"/>
          <w:sz w:val="24"/>
          <w:szCs w:val="24"/>
          <w:lang w:bidi="ar-SA"/>
        </w:rPr>
        <w:t xml:space="preserve"> J, Gilson L, Russell S, </w:t>
      </w:r>
      <w:proofErr w:type="spellStart"/>
      <w:r w:rsidRPr="00786463">
        <w:rPr>
          <w:rFonts w:ascii="Times New Roman" w:eastAsia="Calibri" w:hAnsi="Times New Roman"/>
          <w:sz w:val="24"/>
          <w:szCs w:val="24"/>
          <w:lang w:bidi="ar-SA"/>
        </w:rPr>
        <w:t>Gumede</w:t>
      </w:r>
      <w:proofErr w:type="spellEnd"/>
      <w:r w:rsidRPr="00786463">
        <w:rPr>
          <w:rFonts w:ascii="Times New Roman" w:eastAsia="Calibri" w:hAnsi="Times New Roman"/>
          <w:sz w:val="24"/>
          <w:szCs w:val="24"/>
          <w:lang w:bidi="ar-SA"/>
        </w:rPr>
        <w:t xml:space="preserve"> T, Mills </w:t>
      </w:r>
      <w:proofErr w:type="gramStart"/>
      <w:r w:rsidRPr="00786463">
        <w:rPr>
          <w:rFonts w:ascii="Times New Roman" w:eastAsia="Calibri" w:hAnsi="Times New Roman"/>
          <w:sz w:val="24"/>
          <w:szCs w:val="24"/>
          <w:lang w:bidi="ar-SA"/>
        </w:rPr>
        <w:t>A</w:t>
      </w:r>
      <w:proofErr w:type="gramEnd"/>
      <w:r w:rsidRPr="00786463">
        <w:rPr>
          <w:rFonts w:ascii="Times New Roman" w:eastAsia="Calibri" w:hAnsi="Times New Roman"/>
          <w:sz w:val="24"/>
          <w:szCs w:val="24"/>
          <w:lang w:bidi="ar-SA"/>
        </w:rPr>
        <w:t xml:space="preserve"> (2009) Affordability, availability and</w:t>
      </w:r>
      <w:r w:rsidRPr="00786463">
        <w:rPr>
          <w:rFonts w:ascii="Times New Roman" w:hAnsi="Times New Roman"/>
          <w:b/>
          <w:sz w:val="24"/>
          <w:szCs w:val="24"/>
          <w:lang w:bidi="ar-SA"/>
        </w:rPr>
        <w:t xml:space="preserve"> </w:t>
      </w:r>
      <w:r w:rsidRPr="00786463">
        <w:rPr>
          <w:rFonts w:ascii="Times New Roman" w:eastAsia="Calibri" w:hAnsi="Times New Roman"/>
          <w:sz w:val="24"/>
          <w:szCs w:val="24"/>
          <w:lang w:bidi="ar-SA"/>
        </w:rPr>
        <w:t>acceptability barriers to health care for the chronically ill: Longitudinal case studies from South</w:t>
      </w:r>
      <w:r w:rsidRPr="00786463">
        <w:rPr>
          <w:rFonts w:ascii="Times New Roman" w:hAnsi="Times New Roman"/>
          <w:b/>
          <w:sz w:val="24"/>
          <w:szCs w:val="24"/>
          <w:lang w:bidi="ar-SA"/>
        </w:rPr>
        <w:t xml:space="preserve"> </w:t>
      </w:r>
      <w:r w:rsidRPr="00786463">
        <w:rPr>
          <w:rFonts w:ascii="Times New Roman" w:eastAsia="Calibri" w:hAnsi="Times New Roman"/>
          <w:sz w:val="24"/>
          <w:szCs w:val="24"/>
          <w:lang w:bidi="ar-SA"/>
        </w:rPr>
        <w:t xml:space="preserve">Africa. </w:t>
      </w:r>
      <w:r w:rsidRPr="00786463">
        <w:rPr>
          <w:rFonts w:ascii="Times New Roman" w:eastAsia="Calibri" w:hAnsi="Times New Roman"/>
          <w:iCs/>
          <w:sz w:val="24"/>
          <w:szCs w:val="24"/>
          <w:lang w:bidi="ar-SA"/>
        </w:rPr>
        <w:t>BMC Health Services Research</w:t>
      </w:r>
      <w:r w:rsidRPr="00786463">
        <w:rPr>
          <w:rFonts w:ascii="Times New Roman" w:eastAsia="Calibri" w:hAnsi="Times New Roman"/>
          <w:sz w:val="24"/>
          <w:szCs w:val="24"/>
          <w:lang w:bidi="ar-SA"/>
        </w:rPr>
        <w:t xml:space="preserve"> 9(75).</w:t>
      </w:r>
    </w:p>
    <w:p w:rsidR="00A134F9" w:rsidRPr="00786463" w:rsidRDefault="00A134F9" w:rsidP="00A134F9">
      <w:pPr>
        <w:numPr>
          <w:ilvl w:val="0"/>
          <w:numId w:val="2"/>
        </w:numPr>
        <w:spacing w:line="240" w:lineRule="auto"/>
        <w:contextualSpacing/>
        <w:rPr>
          <w:rFonts w:ascii="Times New Roman" w:hAnsi="Times New Roman"/>
          <w:b/>
          <w:sz w:val="24"/>
          <w:szCs w:val="24"/>
          <w:lang w:bidi="ar-SA"/>
        </w:rPr>
      </w:pPr>
      <w:r w:rsidRPr="00786463">
        <w:rPr>
          <w:rFonts w:ascii="Times New Roman" w:eastAsia="Calibri" w:hAnsi="Times New Roman"/>
          <w:sz w:val="24"/>
          <w:szCs w:val="24"/>
          <w:lang w:bidi="ar-SA"/>
        </w:rPr>
        <w:t>World Health Organization, Regional</w:t>
      </w:r>
      <w:r w:rsidR="00E5098E">
        <w:rPr>
          <w:rFonts w:ascii="Times New Roman" w:eastAsia="Calibri" w:hAnsi="Times New Roman"/>
          <w:sz w:val="24"/>
          <w:szCs w:val="24"/>
          <w:lang w:bidi="ar-SA"/>
        </w:rPr>
        <w:t xml:space="preserve"> Office for the Western Pacific (2007) </w:t>
      </w:r>
      <w:r w:rsidRPr="00786463">
        <w:rPr>
          <w:rFonts w:ascii="Times New Roman" w:eastAsia="Calibri" w:hAnsi="Times New Roman"/>
          <w:iCs/>
          <w:sz w:val="24"/>
          <w:szCs w:val="24"/>
          <w:lang w:bidi="ar-SA"/>
        </w:rPr>
        <w:t>Reaching the Poor:</w:t>
      </w:r>
      <w:r w:rsidRPr="00786463">
        <w:rPr>
          <w:rFonts w:ascii="Times New Roman" w:hAnsi="Times New Roman"/>
          <w:b/>
          <w:sz w:val="24"/>
          <w:szCs w:val="24"/>
          <w:lang w:bidi="ar-SA"/>
        </w:rPr>
        <w:t xml:space="preserve"> </w:t>
      </w:r>
      <w:r w:rsidRPr="00786463">
        <w:rPr>
          <w:rFonts w:ascii="Times New Roman" w:eastAsia="Calibri" w:hAnsi="Times New Roman"/>
          <w:iCs/>
          <w:sz w:val="24"/>
          <w:szCs w:val="24"/>
          <w:lang w:bidi="ar-SA"/>
        </w:rPr>
        <w:t>Challenges for Child Health in the Western Pacific Region</w:t>
      </w:r>
      <w:r w:rsidRPr="00786463">
        <w:rPr>
          <w:rFonts w:ascii="Times New Roman" w:eastAsia="Calibri" w:hAnsi="Times New Roman"/>
          <w:sz w:val="24"/>
          <w:szCs w:val="24"/>
          <w:lang w:bidi="ar-SA"/>
        </w:rPr>
        <w:t>. World Health Organization.</w:t>
      </w:r>
    </w:p>
    <w:p w:rsidR="006F3EF9" w:rsidRPr="00786463" w:rsidRDefault="006F3EF9" w:rsidP="006F3EF9">
      <w:pPr>
        <w:numPr>
          <w:ilvl w:val="0"/>
          <w:numId w:val="2"/>
        </w:numPr>
        <w:spacing w:line="240" w:lineRule="auto"/>
        <w:contextualSpacing/>
        <w:rPr>
          <w:rFonts w:ascii="Times New Roman" w:hAnsi="Times New Roman"/>
          <w:b/>
          <w:sz w:val="24"/>
          <w:szCs w:val="24"/>
          <w:lang w:bidi="ar-SA"/>
        </w:rPr>
      </w:pPr>
      <w:proofErr w:type="spellStart"/>
      <w:r w:rsidRPr="00786463">
        <w:rPr>
          <w:rFonts w:ascii="Times New Roman" w:eastAsia="Calibri" w:hAnsi="Times New Roman"/>
          <w:sz w:val="24"/>
          <w:szCs w:val="24"/>
          <w:lang w:bidi="ar-SA"/>
        </w:rPr>
        <w:t>Zere</w:t>
      </w:r>
      <w:proofErr w:type="spellEnd"/>
      <w:r w:rsidRPr="00786463">
        <w:rPr>
          <w:rFonts w:ascii="Times New Roman" w:eastAsia="Calibri" w:hAnsi="Times New Roman"/>
          <w:sz w:val="24"/>
          <w:szCs w:val="24"/>
          <w:lang w:bidi="ar-SA"/>
        </w:rPr>
        <w:t xml:space="preserve"> E, </w:t>
      </w:r>
      <w:proofErr w:type="spellStart"/>
      <w:r w:rsidRPr="00786463">
        <w:rPr>
          <w:rFonts w:ascii="Times New Roman" w:eastAsia="Calibri" w:hAnsi="Times New Roman"/>
          <w:sz w:val="24"/>
          <w:szCs w:val="24"/>
          <w:lang w:bidi="ar-SA"/>
        </w:rPr>
        <w:t>Mandlhate</w:t>
      </w:r>
      <w:proofErr w:type="spellEnd"/>
      <w:r w:rsidRPr="00786463">
        <w:rPr>
          <w:rFonts w:ascii="Times New Roman" w:eastAsia="Calibri" w:hAnsi="Times New Roman"/>
          <w:sz w:val="24"/>
          <w:szCs w:val="24"/>
          <w:lang w:bidi="ar-SA"/>
        </w:rPr>
        <w:t xml:space="preserve"> C, </w:t>
      </w:r>
      <w:proofErr w:type="spellStart"/>
      <w:r w:rsidRPr="00786463">
        <w:rPr>
          <w:rFonts w:ascii="Times New Roman" w:eastAsia="Calibri" w:hAnsi="Times New Roman"/>
          <w:sz w:val="24"/>
          <w:szCs w:val="24"/>
          <w:lang w:bidi="ar-SA"/>
        </w:rPr>
        <w:t>Mbeeli</w:t>
      </w:r>
      <w:proofErr w:type="spellEnd"/>
      <w:r w:rsidRPr="00786463">
        <w:rPr>
          <w:rFonts w:ascii="Times New Roman" w:eastAsia="Calibri" w:hAnsi="Times New Roman"/>
          <w:sz w:val="24"/>
          <w:szCs w:val="24"/>
          <w:lang w:bidi="ar-SA"/>
        </w:rPr>
        <w:t xml:space="preserve"> T, </w:t>
      </w:r>
      <w:proofErr w:type="spellStart"/>
      <w:r w:rsidRPr="00786463">
        <w:rPr>
          <w:rFonts w:ascii="Times New Roman" w:eastAsia="Calibri" w:hAnsi="Times New Roman"/>
          <w:sz w:val="24"/>
          <w:szCs w:val="24"/>
          <w:lang w:bidi="ar-SA"/>
        </w:rPr>
        <w:t>Shangula</w:t>
      </w:r>
      <w:proofErr w:type="spellEnd"/>
      <w:r w:rsidRPr="00786463">
        <w:rPr>
          <w:rFonts w:ascii="Times New Roman" w:eastAsia="Calibri" w:hAnsi="Times New Roman"/>
          <w:sz w:val="24"/>
          <w:szCs w:val="24"/>
          <w:lang w:bidi="ar-SA"/>
        </w:rPr>
        <w:t xml:space="preserve"> K, </w:t>
      </w:r>
      <w:proofErr w:type="spellStart"/>
      <w:proofErr w:type="gramStart"/>
      <w:r>
        <w:rPr>
          <w:rFonts w:ascii="Times New Roman" w:eastAsia="Calibri" w:hAnsi="Times New Roman"/>
          <w:sz w:val="24"/>
          <w:szCs w:val="24"/>
          <w:lang w:bidi="ar-SA"/>
        </w:rPr>
        <w:t>Mutirua</w:t>
      </w:r>
      <w:proofErr w:type="spellEnd"/>
      <w:proofErr w:type="gramEnd"/>
      <w:r>
        <w:rPr>
          <w:rFonts w:ascii="Times New Roman" w:eastAsia="Calibri" w:hAnsi="Times New Roman"/>
          <w:sz w:val="24"/>
          <w:szCs w:val="24"/>
          <w:lang w:bidi="ar-SA"/>
        </w:rPr>
        <w:t xml:space="preserve"> K, et al.</w:t>
      </w:r>
      <w:r w:rsidRPr="00786463">
        <w:rPr>
          <w:rFonts w:ascii="Times New Roman" w:eastAsia="Calibri" w:hAnsi="Times New Roman"/>
          <w:sz w:val="24"/>
          <w:szCs w:val="24"/>
          <w:lang w:bidi="ar-SA"/>
        </w:rPr>
        <w:t xml:space="preserve"> (2007) Equity in</w:t>
      </w:r>
      <w:r w:rsidRPr="00786463">
        <w:rPr>
          <w:rFonts w:ascii="Times New Roman" w:hAnsi="Times New Roman"/>
          <w:b/>
          <w:sz w:val="24"/>
          <w:szCs w:val="24"/>
          <w:lang w:bidi="ar-SA"/>
        </w:rPr>
        <w:t xml:space="preserve"> </w:t>
      </w:r>
      <w:r w:rsidRPr="00786463">
        <w:rPr>
          <w:rFonts w:ascii="Times New Roman" w:eastAsia="Calibri" w:hAnsi="Times New Roman"/>
          <w:sz w:val="24"/>
          <w:szCs w:val="24"/>
          <w:lang w:bidi="ar-SA"/>
        </w:rPr>
        <w:t>health care in Namibia: Developing a needs-based resource allocation formula using principal</w:t>
      </w:r>
      <w:r w:rsidRPr="00786463">
        <w:rPr>
          <w:rFonts w:ascii="Times New Roman" w:hAnsi="Times New Roman"/>
          <w:b/>
          <w:sz w:val="24"/>
          <w:szCs w:val="24"/>
          <w:lang w:bidi="ar-SA"/>
        </w:rPr>
        <w:t xml:space="preserve"> </w:t>
      </w:r>
      <w:r w:rsidRPr="00786463">
        <w:rPr>
          <w:rFonts w:ascii="Times New Roman" w:eastAsia="Calibri" w:hAnsi="Times New Roman"/>
          <w:sz w:val="24"/>
          <w:szCs w:val="24"/>
          <w:lang w:bidi="ar-SA"/>
        </w:rPr>
        <w:t xml:space="preserve">components analysis. </w:t>
      </w:r>
      <w:r w:rsidRPr="00786463">
        <w:rPr>
          <w:rFonts w:ascii="Times New Roman" w:eastAsia="Calibri" w:hAnsi="Times New Roman"/>
          <w:iCs/>
          <w:sz w:val="24"/>
          <w:szCs w:val="24"/>
          <w:lang w:bidi="ar-SA"/>
        </w:rPr>
        <w:t>International Journal for Equity in Health</w:t>
      </w:r>
      <w:r w:rsidRPr="00786463">
        <w:rPr>
          <w:rFonts w:ascii="Times New Roman" w:eastAsia="Calibri" w:hAnsi="Times New Roman"/>
          <w:sz w:val="24"/>
          <w:szCs w:val="24"/>
          <w:lang w:bidi="ar-SA"/>
        </w:rPr>
        <w:t xml:space="preserve"> 6(3).</w:t>
      </w:r>
    </w:p>
    <w:p w:rsidR="006F3EF9" w:rsidRPr="00786463" w:rsidRDefault="006F3EF9" w:rsidP="006F3EF9">
      <w:pPr>
        <w:numPr>
          <w:ilvl w:val="0"/>
          <w:numId w:val="2"/>
        </w:numPr>
        <w:spacing w:line="240" w:lineRule="auto"/>
        <w:contextualSpacing/>
        <w:rPr>
          <w:rFonts w:ascii="Times New Roman" w:hAnsi="Times New Roman"/>
          <w:b/>
          <w:sz w:val="24"/>
          <w:szCs w:val="24"/>
          <w:lang w:bidi="ar-SA"/>
        </w:rPr>
      </w:pPr>
      <w:r w:rsidRPr="00786463">
        <w:rPr>
          <w:rFonts w:ascii="Times New Roman" w:eastAsia="Calibri" w:hAnsi="Times New Roman"/>
          <w:sz w:val="24"/>
          <w:szCs w:val="24"/>
          <w:lang w:bidi="ar-SA"/>
        </w:rPr>
        <w:t xml:space="preserve">World Health Organization (2010) </w:t>
      </w:r>
      <w:r w:rsidRPr="00786463">
        <w:rPr>
          <w:rFonts w:ascii="Times New Roman" w:eastAsia="Calibri" w:hAnsi="Times New Roman"/>
          <w:iCs/>
          <w:sz w:val="24"/>
          <w:szCs w:val="24"/>
          <w:lang w:bidi="ar-SA"/>
        </w:rPr>
        <w:t>A Conceptual Framework for Action on the Social Determinants</w:t>
      </w:r>
      <w:r w:rsidRPr="00786463">
        <w:rPr>
          <w:rFonts w:ascii="Times New Roman" w:hAnsi="Times New Roman"/>
          <w:b/>
          <w:sz w:val="24"/>
          <w:szCs w:val="24"/>
          <w:lang w:bidi="ar-SA"/>
        </w:rPr>
        <w:t xml:space="preserve"> </w:t>
      </w:r>
      <w:r w:rsidRPr="00786463">
        <w:rPr>
          <w:rFonts w:ascii="Times New Roman" w:eastAsia="Calibri" w:hAnsi="Times New Roman"/>
          <w:iCs/>
          <w:sz w:val="24"/>
          <w:szCs w:val="24"/>
          <w:lang w:bidi="ar-SA"/>
        </w:rPr>
        <w:t>of Health. Social Determinants of Health Discussion Paper 2: Debates, Policy &amp; Practice, Case</w:t>
      </w:r>
      <w:r w:rsidRPr="00786463">
        <w:rPr>
          <w:rFonts w:ascii="Times New Roman" w:hAnsi="Times New Roman"/>
          <w:b/>
          <w:sz w:val="24"/>
          <w:szCs w:val="24"/>
          <w:lang w:bidi="ar-SA"/>
        </w:rPr>
        <w:t xml:space="preserve"> </w:t>
      </w:r>
      <w:r w:rsidRPr="00786463">
        <w:rPr>
          <w:rFonts w:ascii="Times New Roman" w:eastAsia="Calibri" w:hAnsi="Times New Roman"/>
          <w:iCs/>
          <w:sz w:val="24"/>
          <w:szCs w:val="24"/>
          <w:lang w:bidi="ar-SA"/>
        </w:rPr>
        <w:t>Studies</w:t>
      </w:r>
      <w:r w:rsidRPr="00786463">
        <w:rPr>
          <w:rFonts w:ascii="Times New Roman" w:eastAsia="Calibri" w:hAnsi="Times New Roman"/>
          <w:i/>
          <w:iCs/>
          <w:sz w:val="24"/>
          <w:szCs w:val="24"/>
          <w:lang w:bidi="ar-SA"/>
        </w:rPr>
        <w:t xml:space="preserve">. </w:t>
      </w:r>
      <w:r w:rsidR="00FB4BDA" w:rsidRPr="00FB4BDA">
        <w:rPr>
          <w:rFonts w:ascii="Times New Roman" w:eastAsia="Calibri" w:hAnsi="Times New Roman"/>
          <w:iCs/>
          <w:sz w:val="24"/>
          <w:szCs w:val="24"/>
          <w:lang w:bidi="ar-SA"/>
        </w:rPr>
        <w:t>World Health Organization</w:t>
      </w:r>
      <w:r w:rsidR="00FB4BDA">
        <w:rPr>
          <w:rFonts w:ascii="Times New Roman" w:eastAsia="Calibri" w:hAnsi="Times New Roman"/>
          <w:i/>
          <w:iCs/>
          <w:sz w:val="24"/>
          <w:szCs w:val="24"/>
          <w:lang w:bidi="ar-SA"/>
        </w:rPr>
        <w:t xml:space="preserve">. </w:t>
      </w:r>
      <w:r w:rsidRPr="00786463">
        <w:rPr>
          <w:rFonts w:ascii="Times New Roman" w:eastAsia="Calibri" w:hAnsi="Times New Roman"/>
          <w:iCs/>
          <w:sz w:val="24"/>
          <w:szCs w:val="24"/>
          <w:lang w:bidi="ar-SA"/>
        </w:rPr>
        <w:t>Available:</w:t>
      </w:r>
      <w:r w:rsidRPr="00786463">
        <w:rPr>
          <w:rFonts w:ascii="Times New Roman" w:eastAsia="Calibri" w:hAnsi="Times New Roman"/>
          <w:sz w:val="24"/>
          <w:szCs w:val="24"/>
          <w:lang w:bidi="ar-SA"/>
        </w:rPr>
        <w:t xml:space="preserve"> </w:t>
      </w:r>
      <w:hyperlink r:id="rId7" w:history="1">
        <w:r w:rsidRPr="00882C6C">
          <w:rPr>
            <w:rFonts w:ascii="Times New Roman" w:eastAsia="Calibri" w:hAnsi="Times New Roman"/>
            <w:color w:val="000000" w:themeColor="text1"/>
            <w:sz w:val="24"/>
            <w:szCs w:val="24"/>
            <w:lang w:bidi="ar-SA"/>
          </w:rPr>
          <w:t>http://www.ossyr.org.ar/pdf/bibliografia/131.pdf</w:t>
        </w:r>
      </w:hyperlink>
      <w:r w:rsidRPr="00882C6C">
        <w:rPr>
          <w:rFonts w:ascii="Times New Roman" w:hAnsi="Times New Roman"/>
          <w:sz w:val="24"/>
          <w:szCs w:val="24"/>
          <w:lang w:bidi="ar-SA"/>
        </w:rPr>
        <w:t>.</w:t>
      </w:r>
      <w:r w:rsidRPr="00786463">
        <w:rPr>
          <w:rFonts w:ascii="Times New Roman" w:hAnsi="Times New Roman"/>
          <w:b/>
          <w:sz w:val="24"/>
          <w:szCs w:val="24"/>
          <w:lang w:bidi="ar-SA"/>
        </w:rPr>
        <w:t xml:space="preserve"> </w:t>
      </w:r>
      <w:r w:rsidRPr="00786463">
        <w:rPr>
          <w:rFonts w:ascii="Times New Roman" w:hAnsi="Times New Roman"/>
          <w:sz w:val="24"/>
          <w:szCs w:val="24"/>
          <w:lang w:bidi="ar-SA"/>
        </w:rPr>
        <w:t>Accessed:</w:t>
      </w:r>
      <w:r w:rsidRPr="00786463">
        <w:rPr>
          <w:rFonts w:ascii="Times New Roman" w:hAnsi="Times New Roman"/>
          <w:b/>
          <w:sz w:val="24"/>
          <w:szCs w:val="24"/>
          <w:lang w:bidi="ar-SA"/>
        </w:rPr>
        <w:t xml:space="preserve"> </w:t>
      </w:r>
      <w:r w:rsidRPr="00786463">
        <w:rPr>
          <w:rFonts w:ascii="Times New Roman" w:hAnsi="Times New Roman"/>
          <w:sz w:val="24"/>
          <w:szCs w:val="24"/>
          <w:lang w:bidi="ar-SA"/>
        </w:rPr>
        <w:t>May 05,</w:t>
      </w:r>
      <w:r w:rsidRPr="00786463">
        <w:rPr>
          <w:rFonts w:ascii="Times New Roman" w:hAnsi="Times New Roman"/>
          <w:b/>
          <w:sz w:val="24"/>
          <w:szCs w:val="24"/>
          <w:lang w:bidi="ar-SA"/>
        </w:rPr>
        <w:t xml:space="preserve"> </w:t>
      </w:r>
      <w:r w:rsidRPr="00786463">
        <w:rPr>
          <w:rFonts w:ascii="Times New Roman" w:hAnsi="Times New Roman"/>
          <w:sz w:val="24"/>
          <w:szCs w:val="24"/>
          <w:lang w:bidi="ar-SA"/>
        </w:rPr>
        <w:t>2011</w:t>
      </w:r>
      <w:r w:rsidRPr="00786463">
        <w:rPr>
          <w:rFonts w:ascii="Times New Roman" w:eastAsia="Calibri" w:hAnsi="Times New Roman"/>
          <w:sz w:val="24"/>
          <w:szCs w:val="24"/>
          <w:lang w:bidi="ar-SA"/>
        </w:rPr>
        <w:t>.</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Tamburlini</w:t>
      </w:r>
      <w:proofErr w:type="spellEnd"/>
      <w:r w:rsidRPr="00786463">
        <w:rPr>
          <w:rFonts w:ascii="Times New Roman" w:eastAsia="Calibri" w:hAnsi="Times New Roman"/>
          <w:sz w:val="24"/>
          <w:szCs w:val="24"/>
          <w:lang w:bidi="ar-SA"/>
        </w:rPr>
        <w:t xml:space="preserve"> G (2004) Promoting equity in health. </w:t>
      </w:r>
      <w:r w:rsidRPr="00786463">
        <w:rPr>
          <w:rFonts w:ascii="Times New Roman" w:eastAsia="Calibri" w:hAnsi="Times New Roman"/>
          <w:iCs/>
          <w:sz w:val="24"/>
          <w:szCs w:val="24"/>
          <w:lang w:bidi="ar-SA"/>
        </w:rPr>
        <w:t>Health Policy &amp; Development</w:t>
      </w:r>
      <w:r w:rsidRPr="00786463">
        <w:rPr>
          <w:rFonts w:ascii="Times New Roman" w:eastAsia="Calibri" w:hAnsi="Times New Roman"/>
          <w:sz w:val="24"/>
          <w:szCs w:val="24"/>
          <w:lang w:bidi="ar-SA"/>
        </w:rPr>
        <w:t xml:space="preserve"> 2(3): 186-191.</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McIntyre D, Gilson L (2002) Putting equity in health back onto the social policy agenda: experience from South Africa. </w:t>
      </w:r>
      <w:r w:rsidRPr="00786463">
        <w:rPr>
          <w:rFonts w:ascii="Times New Roman" w:eastAsia="Calibri" w:hAnsi="Times New Roman"/>
          <w:iCs/>
          <w:sz w:val="24"/>
          <w:szCs w:val="24"/>
          <w:lang w:bidi="ar-SA"/>
        </w:rPr>
        <w:t>Social Science &amp; Medicine</w:t>
      </w:r>
      <w:r w:rsidRPr="00786463">
        <w:rPr>
          <w:rFonts w:ascii="Times New Roman" w:eastAsia="Calibri" w:hAnsi="Times New Roman"/>
          <w:sz w:val="24"/>
          <w:szCs w:val="24"/>
          <w:lang w:bidi="ar-SA"/>
        </w:rPr>
        <w:t xml:space="preserve"> 54(11): 1637-56.</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Lanre-Abass</w:t>
      </w:r>
      <w:proofErr w:type="spellEnd"/>
      <w:r w:rsidRPr="00786463">
        <w:rPr>
          <w:rFonts w:ascii="Times New Roman" w:eastAsia="Calibri" w:hAnsi="Times New Roman"/>
          <w:sz w:val="24"/>
          <w:szCs w:val="24"/>
          <w:lang w:bidi="ar-SA"/>
        </w:rPr>
        <w:t xml:space="preserve"> BA (2008) Poverty and maternal mortality in Nigeria: Towards a more viable ethics of modern medical practice. </w:t>
      </w:r>
      <w:r w:rsidRPr="00786463">
        <w:rPr>
          <w:rFonts w:ascii="Times New Roman" w:eastAsia="Calibri" w:hAnsi="Times New Roman"/>
          <w:iCs/>
          <w:sz w:val="24"/>
          <w:szCs w:val="24"/>
          <w:lang w:bidi="ar-SA"/>
        </w:rPr>
        <w:t>International Journal for Equity in Health</w:t>
      </w:r>
      <w:r w:rsidRPr="00786463">
        <w:rPr>
          <w:rFonts w:ascii="Times New Roman" w:eastAsia="Calibri" w:hAnsi="Times New Roman"/>
          <w:sz w:val="24"/>
          <w:szCs w:val="24"/>
          <w:lang w:bidi="ar-SA"/>
        </w:rPr>
        <w:t xml:space="preserve"> 7(11).</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Ridde</w:t>
      </w:r>
      <w:proofErr w:type="spellEnd"/>
      <w:r w:rsidRPr="00786463">
        <w:rPr>
          <w:rFonts w:ascii="Times New Roman" w:eastAsia="Calibri" w:hAnsi="Times New Roman"/>
          <w:sz w:val="24"/>
          <w:szCs w:val="24"/>
          <w:lang w:bidi="ar-SA"/>
        </w:rPr>
        <w:t xml:space="preserve"> V (2008) “The problem of the worst-off is dealt with after all other issues”: The equity and health policy implementation gap in Burkina Faso. </w:t>
      </w:r>
      <w:r w:rsidRPr="00786463">
        <w:rPr>
          <w:rFonts w:ascii="Times New Roman" w:eastAsia="Calibri" w:hAnsi="Times New Roman"/>
          <w:iCs/>
          <w:sz w:val="24"/>
          <w:szCs w:val="24"/>
          <w:lang w:bidi="ar-SA"/>
        </w:rPr>
        <w:t>Social Science &amp; Medicine</w:t>
      </w:r>
      <w:r w:rsidRPr="00786463">
        <w:rPr>
          <w:rFonts w:ascii="Times New Roman" w:eastAsia="Calibri" w:hAnsi="Times New Roman"/>
          <w:sz w:val="24"/>
          <w:szCs w:val="24"/>
          <w:lang w:bidi="ar-SA"/>
        </w:rPr>
        <w:t xml:space="preserve"> 66(6): 1368-78.</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lastRenderedPageBreak/>
        <w:t xml:space="preserve">Gilson L, </w:t>
      </w:r>
      <w:proofErr w:type="spellStart"/>
      <w:r w:rsidRPr="00786463">
        <w:rPr>
          <w:rFonts w:ascii="Times New Roman" w:eastAsia="Calibri" w:hAnsi="Times New Roman"/>
          <w:sz w:val="24"/>
          <w:szCs w:val="24"/>
          <w:lang w:bidi="ar-SA"/>
        </w:rPr>
        <w:t>Kalyalya</w:t>
      </w:r>
      <w:proofErr w:type="spellEnd"/>
      <w:r w:rsidRPr="00786463">
        <w:rPr>
          <w:rFonts w:ascii="Times New Roman" w:eastAsia="Calibri" w:hAnsi="Times New Roman"/>
          <w:sz w:val="24"/>
          <w:szCs w:val="24"/>
          <w:lang w:bidi="ar-SA"/>
        </w:rPr>
        <w:t xml:space="preserve"> D, </w:t>
      </w:r>
      <w:proofErr w:type="spellStart"/>
      <w:r w:rsidRPr="00786463">
        <w:rPr>
          <w:rFonts w:ascii="Times New Roman" w:eastAsia="Calibri" w:hAnsi="Times New Roman"/>
          <w:sz w:val="24"/>
          <w:szCs w:val="24"/>
          <w:lang w:bidi="ar-SA"/>
        </w:rPr>
        <w:t>Kuchle</w:t>
      </w:r>
      <w:r>
        <w:rPr>
          <w:rFonts w:ascii="Times New Roman" w:eastAsia="Calibri" w:hAnsi="Times New Roman"/>
          <w:sz w:val="24"/>
          <w:szCs w:val="24"/>
          <w:lang w:bidi="ar-SA"/>
        </w:rPr>
        <w:t>r</w:t>
      </w:r>
      <w:proofErr w:type="spellEnd"/>
      <w:r>
        <w:rPr>
          <w:rFonts w:ascii="Times New Roman" w:eastAsia="Calibri" w:hAnsi="Times New Roman"/>
          <w:sz w:val="24"/>
          <w:szCs w:val="24"/>
          <w:lang w:bidi="ar-SA"/>
        </w:rPr>
        <w:t xml:space="preserve"> F, Lake S, </w:t>
      </w:r>
      <w:proofErr w:type="spellStart"/>
      <w:r>
        <w:rPr>
          <w:rFonts w:ascii="Times New Roman" w:eastAsia="Calibri" w:hAnsi="Times New Roman"/>
          <w:sz w:val="24"/>
          <w:szCs w:val="24"/>
          <w:lang w:bidi="ar-SA"/>
        </w:rPr>
        <w:t>Oranga</w:t>
      </w:r>
      <w:proofErr w:type="spellEnd"/>
      <w:r>
        <w:rPr>
          <w:rFonts w:ascii="Times New Roman" w:eastAsia="Calibri" w:hAnsi="Times New Roman"/>
          <w:sz w:val="24"/>
          <w:szCs w:val="24"/>
          <w:lang w:bidi="ar-SA"/>
        </w:rPr>
        <w:t xml:space="preserve"> H, et al. </w:t>
      </w:r>
      <w:r w:rsidRPr="00786463">
        <w:rPr>
          <w:rFonts w:ascii="Times New Roman" w:eastAsia="Calibri" w:hAnsi="Times New Roman"/>
          <w:sz w:val="24"/>
          <w:szCs w:val="24"/>
          <w:lang w:bidi="ar-SA"/>
        </w:rPr>
        <w:t xml:space="preserve">(2001) Strategies for promoting equity: Experience with community financing in three African countries. </w:t>
      </w:r>
      <w:r w:rsidRPr="00786463">
        <w:rPr>
          <w:rFonts w:ascii="Times New Roman" w:eastAsia="Calibri" w:hAnsi="Times New Roman"/>
          <w:iCs/>
          <w:sz w:val="24"/>
          <w:szCs w:val="24"/>
          <w:lang w:bidi="ar-SA"/>
        </w:rPr>
        <w:t>Health Policy</w:t>
      </w:r>
      <w:r w:rsidRPr="00786463">
        <w:rPr>
          <w:rFonts w:ascii="Times New Roman" w:eastAsia="Calibri" w:hAnsi="Times New Roman"/>
          <w:sz w:val="24"/>
          <w:szCs w:val="24"/>
          <w:lang w:bidi="ar-SA"/>
        </w:rPr>
        <w:t xml:space="preserve"> 58(1): 37-67.</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World Health Organization, World Bank Working Group on Child Health and Poverty (2001) </w:t>
      </w:r>
      <w:r w:rsidRPr="00786463">
        <w:rPr>
          <w:rFonts w:ascii="Times New Roman" w:eastAsia="Calibri" w:hAnsi="Times New Roman"/>
          <w:iCs/>
          <w:sz w:val="24"/>
          <w:szCs w:val="24"/>
          <w:lang w:bidi="ar-SA"/>
        </w:rPr>
        <w:t>Better Health for Poor Children: A Special Report</w:t>
      </w:r>
      <w:r w:rsidRPr="00786463">
        <w:rPr>
          <w:rFonts w:ascii="Times New Roman" w:eastAsia="Calibri" w:hAnsi="Times New Roman"/>
          <w:sz w:val="24"/>
          <w:szCs w:val="24"/>
          <w:lang w:bidi="ar-SA"/>
        </w:rPr>
        <w:t>. World Health Organization/ World Bank.</w:t>
      </w:r>
    </w:p>
    <w:p w:rsidR="006F3EF9" w:rsidRPr="00786463" w:rsidRDefault="006F3EF9" w:rsidP="006F3EF9">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Roy K, Hill Howard D (2007) Equity in out-of-pocket payments for hospital care: Evidence from India. </w:t>
      </w:r>
      <w:r w:rsidRPr="00786463">
        <w:rPr>
          <w:rFonts w:ascii="Times New Roman" w:eastAsia="Calibri" w:hAnsi="Times New Roman"/>
          <w:iCs/>
          <w:sz w:val="24"/>
          <w:szCs w:val="24"/>
          <w:lang w:bidi="ar-SA"/>
        </w:rPr>
        <w:t>Health Policy</w:t>
      </w:r>
      <w:r w:rsidRPr="00786463">
        <w:rPr>
          <w:rFonts w:ascii="Times New Roman" w:eastAsia="Calibri" w:hAnsi="Times New Roman"/>
          <w:sz w:val="24"/>
          <w:szCs w:val="24"/>
          <w:lang w:bidi="ar-SA"/>
        </w:rPr>
        <w:t xml:space="preserve"> 80(2): 297-307.</w:t>
      </w:r>
    </w:p>
    <w:p w:rsidR="001D15D9" w:rsidRPr="00786463" w:rsidRDefault="001D15D9" w:rsidP="001D15D9">
      <w:pPr>
        <w:numPr>
          <w:ilvl w:val="0"/>
          <w:numId w:val="2"/>
        </w:numPr>
        <w:spacing w:line="240" w:lineRule="auto"/>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Office of the United Nations High Commissioner for Human Rights, World Health Organization (2008) </w:t>
      </w:r>
      <w:proofErr w:type="gramStart"/>
      <w:r w:rsidRPr="00786463">
        <w:rPr>
          <w:rFonts w:ascii="Times New Roman" w:eastAsia="Calibri" w:hAnsi="Times New Roman"/>
          <w:sz w:val="24"/>
          <w:szCs w:val="24"/>
          <w:lang w:bidi="ar-SA"/>
        </w:rPr>
        <w:t>The</w:t>
      </w:r>
      <w:proofErr w:type="gramEnd"/>
      <w:r w:rsidRPr="00786463">
        <w:rPr>
          <w:rFonts w:ascii="Times New Roman" w:eastAsia="Calibri" w:hAnsi="Times New Roman"/>
          <w:sz w:val="24"/>
          <w:szCs w:val="24"/>
          <w:lang w:bidi="ar-SA"/>
        </w:rPr>
        <w:t xml:space="preserve"> Right to Health. United Nations, Geneva.</w:t>
      </w:r>
    </w:p>
    <w:p w:rsidR="001D15D9" w:rsidRPr="00786463" w:rsidRDefault="001D15D9" w:rsidP="001D15D9">
      <w:pPr>
        <w:numPr>
          <w:ilvl w:val="0"/>
          <w:numId w:val="2"/>
        </w:numPr>
        <w:spacing w:line="240" w:lineRule="auto"/>
        <w:contextualSpacing/>
        <w:rPr>
          <w:rFonts w:ascii="Times New Roman" w:hAnsi="Times New Roman"/>
          <w:sz w:val="24"/>
          <w:szCs w:val="24"/>
          <w:lang w:bidi="ar-SA"/>
        </w:rPr>
      </w:pPr>
      <w:proofErr w:type="spellStart"/>
      <w:r w:rsidRPr="00786463">
        <w:rPr>
          <w:rFonts w:ascii="Times New Roman" w:eastAsia="Calibri" w:hAnsi="Times New Roman"/>
          <w:sz w:val="24"/>
          <w:szCs w:val="24"/>
          <w:lang w:bidi="ar-SA"/>
        </w:rPr>
        <w:t>Braveman</w:t>
      </w:r>
      <w:proofErr w:type="spellEnd"/>
      <w:r w:rsidRPr="00786463">
        <w:rPr>
          <w:rFonts w:ascii="Times New Roman" w:eastAsia="Calibri" w:hAnsi="Times New Roman"/>
          <w:sz w:val="24"/>
          <w:szCs w:val="24"/>
          <w:lang w:bidi="ar-SA"/>
        </w:rPr>
        <w:t xml:space="preserve"> P, </w:t>
      </w:r>
      <w:proofErr w:type="spellStart"/>
      <w:r w:rsidRPr="00786463">
        <w:rPr>
          <w:rFonts w:ascii="Times New Roman" w:eastAsia="Calibri" w:hAnsi="Times New Roman"/>
          <w:sz w:val="24"/>
          <w:szCs w:val="24"/>
          <w:lang w:bidi="ar-SA"/>
        </w:rPr>
        <w:t>Gruskin</w:t>
      </w:r>
      <w:proofErr w:type="spellEnd"/>
      <w:r w:rsidRPr="00786463">
        <w:rPr>
          <w:rFonts w:ascii="Times New Roman" w:eastAsia="Calibri" w:hAnsi="Times New Roman"/>
          <w:sz w:val="24"/>
          <w:szCs w:val="24"/>
          <w:lang w:bidi="ar-SA"/>
        </w:rPr>
        <w:t xml:space="preserve"> S (2003) Poverty, equity, human rights and health. </w:t>
      </w:r>
      <w:r w:rsidRPr="00786463">
        <w:rPr>
          <w:rFonts w:ascii="Times New Roman" w:eastAsia="Calibri" w:hAnsi="Times New Roman"/>
          <w:iCs/>
          <w:sz w:val="24"/>
          <w:szCs w:val="24"/>
          <w:lang w:bidi="ar-SA"/>
        </w:rPr>
        <w:t>Bull World Health</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Organ</w:t>
      </w:r>
      <w:r w:rsidRPr="00786463">
        <w:rPr>
          <w:rFonts w:ascii="Times New Roman" w:eastAsia="Calibri" w:hAnsi="Times New Roman"/>
          <w:sz w:val="24"/>
          <w:szCs w:val="24"/>
          <w:lang w:bidi="ar-SA"/>
        </w:rPr>
        <w:t xml:space="preserve"> 81(7): 539-45.</w:t>
      </w:r>
    </w:p>
    <w:p w:rsidR="001D15D9" w:rsidRPr="00786463" w:rsidRDefault="001D15D9" w:rsidP="001D15D9">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Mugisha</w:t>
      </w:r>
      <w:proofErr w:type="spellEnd"/>
      <w:r w:rsidRPr="00786463">
        <w:rPr>
          <w:rFonts w:ascii="Times New Roman" w:eastAsia="Calibri" w:hAnsi="Times New Roman"/>
          <w:sz w:val="24"/>
          <w:szCs w:val="24"/>
          <w:lang w:bidi="ar-SA"/>
        </w:rPr>
        <w:t xml:space="preserve"> J (2004) Reduction of user fees in the private-not-for-profit hospitals in Uganda: Implications for equity and sustainability. </w:t>
      </w:r>
      <w:r w:rsidRPr="00786463">
        <w:rPr>
          <w:rFonts w:ascii="Times New Roman" w:eastAsia="Calibri" w:hAnsi="Times New Roman"/>
          <w:iCs/>
          <w:sz w:val="24"/>
          <w:szCs w:val="24"/>
          <w:lang w:bidi="ar-SA"/>
        </w:rPr>
        <w:t>Health Policy &amp; Development</w:t>
      </w:r>
      <w:r w:rsidRPr="00786463">
        <w:rPr>
          <w:rFonts w:ascii="Times New Roman" w:eastAsia="Calibri" w:hAnsi="Times New Roman"/>
          <w:sz w:val="24"/>
          <w:szCs w:val="24"/>
          <w:lang w:bidi="ar-SA"/>
        </w:rPr>
        <w:t xml:space="preserve"> 2(3): 209-216.</w:t>
      </w:r>
    </w:p>
    <w:p w:rsidR="00887B4E" w:rsidRDefault="001D15D9" w:rsidP="001D15D9">
      <w:pPr>
        <w:numPr>
          <w:ilvl w:val="0"/>
          <w:numId w:val="2"/>
        </w:numPr>
        <w:spacing w:line="240" w:lineRule="auto"/>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MacNaughton</w:t>
      </w:r>
      <w:proofErr w:type="spellEnd"/>
      <w:r w:rsidRPr="00786463">
        <w:rPr>
          <w:rFonts w:ascii="Times New Roman" w:eastAsia="Calibri" w:hAnsi="Times New Roman"/>
          <w:sz w:val="24"/>
          <w:szCs w:val="24"/>
          <w:lang w:bidi="ar-SA"/>
        </w:rPr>
        <w:t xml:space="preserve"> G (2004) </w:t>
      </w:r>
      <w:r w:rsidRPr="00786463">
        <w:rPr>
          <w:rFonts w:ascii="Times New Roman" w:eastAsia="Calibri" w:hAnsi="Times New Roman"/>
          <w:iCs/>
          <w:sz w:val="24"/>
          <w:szCs w:val="24"/>
          <w:lang w:bidi="ar-SA"/>
        </w:rPr>
        <w:t>Health and Human Rights Working Paper Series No 5: Women’s Human</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Rights related to Health-Care Services in the Context of HIV/AIDS</w:t>
      </w:r>
      <w:r w:rsidRPr="00786463">
        <w:rPr>
          <w:rFonts w:ascii="Times New Roman" w:eastAsia="Calibri" w:hAnsi="Times New Roman"/>
          <w:sz w:val="24"/>
          <w:szCs w:val="24"/>
          <w:lang w:bidi="ar-SA"/>
        </w:rPr>
        <w:t>. The International Centre for the Legal Protection of Human Rights, London.</w:t>
      </w:r>
    </w:p>
    <w:p w:rsidR="00AC7C19" w:rsidRPr="00F15EC4" w:rsidRDefault="00AC7C19" w:rsidP="00AC7C19">
      <w:pPr>
        <w:numPr>
          <w:ilvl w:val="0"/>
          <w:numId w:val="2"/>
        </w:numPr>
        <w:spacing w:line="240" w:lineRule="auto"/>
        <w:contextualSpacing/>
        <w:rPr>
          <w:rFonts w:ascii="Times New Roman" w:hAnsi="Times New Roman"/>
          <w:sz w:val="24"/>
          <w:szCs w:val="24"/>
          <w:lang w:bidi="ar-SA"/>
        </w:rPr>
      </w:pPr>
      <w:proofErr w:type="spellStart"/>
      <w:r w:rsidRPr="00786463">
        <w:rPr>
          <w:rFonts w:ascii="Times New Roman" w:eastAsia="Calibri" w:hAnsi="Times New Roman"/>
          <w:sz w:val="24"/>
          <w:szCs w:val="24"/>
          <w:lang w:bidi="ar-SA"/>
        </w:rPr>
        <w:t>Maulik</w:t>
      </w:r>
      <w:proofErr w:type="spellEnd"/>
      <w:r w:rsidRPr="00786463">
        <w:rPr>
          <w:rFonts w:ascii="Times New Roman" w:eastAsia="Calibri" w:hAnsi="Times New Roman"/>
          <w:sz w:val="24"/>
          <w:szCs w:val="24"/>
          <w:lang w:bidi="ar-SA"/>
        </w:rPr>
        <w:t xml:space="preserve"> PK, Darmstadt GL (2007) Childhood disability in low- and middle-income countries:</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 xml:space="preserve">Overview of screening, prevention, services, legislation, and epidemiology. </w:t>
      </w:r>
      <w:r w:rsidRPr="00786463">
        <w:rPr>
          <w:rFonts w:ascii="Times New Roman" w:eastAsia="Calibri" w:hAnsi="Times New Roman"/>
          <w:iCs/>
          <w:sz w:val="24"/>
          <w:szCs w:val="24"/>
          <w:lang w:bidi="ar-SA"/>
        </w:rPr>
        <w:t>Pediatrics</w:t>
      </w:r>
      <w:r w:rsidRPr="00786463">
        <w:rPr>
          <w:rFonts w:ascii="Times New Roman" w:eastAsia="Calibri" w:hAnsi="Times New Roman"/>
          <w:sz w:val="24"/>
          <w:szCs w:val="24"/>
          <w:lang w:bidi="ar-SA"/>
        </w:rPr>
        <w:t xml:space="preserve"> 120(1).</w:t>
      </w:r>
    </w:p>
    <w:p w:rsidR="00205874" w:rsidRPr="00786463" w:rsidRDefault="00205874" w:rsidP="002B0655">
      <w:pPr>
        <w:numPr>
          <w:ilvl w:val="0"/>
          <w:numId w:val="2"/>
        </w:numPr>
        <w:spacing w:line="240" w:lineRule="auto"/>
        <w:ind w:right="-22"/>
        <w:contextualSpacing/>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World Health Organization (2005) </w:t>
      </w:r>
      <w:r w:rsidRPr="00786463">
        <w:rPr>
          <w:rFonts w:ascii="Times New Roman" w:eastAsia="Calibri" w:hAnsi="Times New Roman"/>
          <w:iCs/>
          <w:sz w:val="24"/>
          <w:szCs w:val="24"/>
          <w:lang w:bidi="ar-SA"/>
        </w:rPr>
        <w:t>Child Health and Development: Child Survival in the South-East</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Asia Region.</w:t>
      </w:r>
      <w:r w:rsidRPr="00786463">
        <w:rPr>
          <w:rFonts w:ascii="Times New Roman" w:eastAsia="Calibri" w:hAnsi="Times New Roman"/>
          <w:i/>
          <w:iCs/>
          <w:sz w:val="24"/>
          <w:szCs w:val="24"/>
          <w:lang w:bidi="ar-SA"/>
        </w:rPr>
        <w:t xml:space="preserve"> </w:t>
      </w:r>
      <w:r w:rsidRPr="00786463">
        <w:rPr>
          <w:rFonts w:ascii="Times New Roman" w:eastAsia="Calibri" w:hAnsi="Times New Roman"/>
          <w:sz w:val="24"/>
          <w:szCs w:val="24"/>
          <w:lang w:bidi="ar-SA"/>
        </w:rPr>
        <w:t xml:space="preserve">Available:  </w:t>
      </w:r>
      <w:hyperlink r:id="rId8" w:history="1">
        <w:r w:rsidRPr="00655CF9">
          <w:rPr>
            <w:rFonts w:ascii="Times New Roman" w:eastAsia="Calibri" w:hAnsi="Times New Roman"/>
            <w:color w:val="000000" w:themeColor="text1"/>
            <w:sz w:val="24"/>
            <w:szCs w:val="24"/>
            <w:lang w:bidi="ar-SA"/>
          </w:rPr>
          <w:t>http://www.searo.who.int/en/Section13/Section37/Section135.htm</w:t>
        </w:r>
      </w:hyperlink>
      <w:r w:rsidR="007920C2">
        <w:rPr>
          <w:rFonts w:ascii="Times New Roman" w:eastAsia="Calibri" w:hAnsi="Times New Roman"/>
          <w:sz w:val="24"/>
          <w:szCs w:val="24"/>
          <w:lang w:bidi="ar-SA"/>
        </w:rPr>
        <w:t>. Accessed</w:t>
      </w:r>
      <w:r w:rsidR="00DE656E">
        <w:rPr>
          <w:rFonts w:ascii="Times New Roman" w:eastAsia="Calibri" w:hAnsi="Times New Roman"/>
          <w:sz w:val="24"/>
          <w:szCs w:val="24"/>
          <w:lang w:bidi="ar-SA"/>
        </w:rPr>
        <w:t>:</w:t>
      </w:r>
      <w:bookmarkStart w:id="0" w:name="_GoBack"/>
      <w:bookmarkEnd w:id="0"/>
      <w:r w:rsidRPr="00786463">
        <w:rPr>
          <w:rFonts w:ascii="Times New Roman" w:eastAsia="Calibri" w:hAnsi="Times New Roman"/>
          <w:sz w:val="24"/>
          <w:szCs w:val="24"/>
          <w:lang w:bidi="ar-SA"/>
        </w:rPr>
        <w:t xml:space="preserve"> December</w:t>
      </w:r>
      <w:r w:rsidR="007920C2">
        <w:rPr>
          <w:rFonts w:ascii="Times New Roman" w:eastAsia="Calibri" w:hAnsi="Times New Roman"/>
          <w:sz w:val="24"/>
          <w:szCs w:val="24"/>
          <w:lang w:bidi="ar-SA"/>
        </w:rPr>
        <w:t xml:space="preserve"> 01</w:t>
      </w:r>
      <w:r w:rsidRPr="00786463">
        <w:rPr>
          <w:rFonts w:ascii="Times New Roman" w:eastAsia="Calibri" w:hAnsi="Times New Roman"/>
          <w:sz w:val="24"/>
          <w:szCs w:val="24"/>
          <w:lang w:bidi="ar-SA"/>
        </w:rPr>
        <w:t xml:space="preserve">, 2010. </w:t>
      </w:r>
    </w:p>
    <w:p w:rsidR="00205874" w:rsidRPr="00786463" w:rsidRDefault="00205874" w:rsidP="002B0655">
      <w:pPr>
        <w:numPr>
          <w:ilvl w:val="0"/>
          <w:numId w:val="2"/>
        </w:numPr>
        <w:spacing w:line="240" w:lineRule="auto"/>
        <w:ind w:right="-22"/>
        <w:contextualSpacing/>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EQUINET (2009) </w:t>
      </w:r>
      <w:r w:rsidRPr="00786463">
        <w:rPr>
          <w:rFonts w:ascii="Times New Roman" w:eastAsia="Calibri" w:hAnsi="Times New Roman"/>
          <w:iCs/>
          <w:sz w:val="24"/>
          <w:szCs w:val="24"/>
          <w:lang w:bidi="ar-SA"/>
        </w:rPr>
        <w:t>Taking Forward the Equity Watch in East and Southern Africa: Regional Methods</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Workshop Report</w:t>
      </w:r>
      <w:r w:rsidRPr="00786463">
        <w:rPr>
          <w:rFonts w:ascii="Times New Roman" w:eastAsia="Calibri" w:hAnsi="Times New Roman"/>
          <w:i/>
          <w:iCs/>
          <w:sz w:val="24"/>
          <w:szCs w:val="24"/>
          <w:lang w:bidi="ar-SA"/>
        </w:rPr>
        <w:t xml:space="preserve">. </w:t>
      </w:r>
      <w:r w:rsidRPr="00786463">
        <w:rPr>
          <w:rFonts w:ascii="Times New Roman" w:eastAsia="Calibri" w:hAnsi="Times New Roman"/>
          <w:iCs/>
          <w:sz w:val="24"/>
          <w:szCs w:val="24"/>
          <w:lang w:bidi="ar-SA"/>
        </w:rPr>
        <w:t>Available:</w:t>
      </w:r>
      <w:r w:rsidRPr="00786463">
        <w:rPr>
          <w:rFonts w:ascii="Times New Roman" w:eastAsia="Calibri" w:hAnsi="Times New Roman"/>
          <w:sz w:val="24"/>
          <w:szCs w:val="24"/>
          <w:lang w:bidi="ar-SA"/>
        </w:rPr>
        <w:t xml:space="preserve"> </w:t>
      </w:r>
      <w:hyperlink r:id="rId9" w:history="1">
        <w:r w:rsidRPr="00655CF9">
          <w:rPr>
            <w:rFonts w:ascii="Times New Roman" w:eastAsia="Calibri" w:hAnsi="Times New Roman"/>
            <w:iCs/>
            <w:color w:val="000000" w:themeColor="text1"/>
            <w:sz w:val="24"/>
            <w:szCs w:val="24"/>
            <w:lang w:bidi="ar-SA"/>
          </w:rPr>
          <w:t>http://www.equinetafrica.org/bibl/docs/EWmtg%20repNov09.pdf</w:t>
        </w:r>
      </w:hyperlink>
      <w:r w:rsidRPr="00786463">
        <w:rPr>
          <w:rFonts w:ascii="Times New Roman" w:eastAsia="Calibri" w:hAnsi="Times New Roman"/>
          <w:iCs/>
          <w:sz w:val="24"/>
          <w:szCs w:val="24"/>
          <w:lang w:bidi="ar-SA"/>
        </w:rPr>
        <w:t>. Accessed: May 04, 2011.</w:t>
      </w:r>
    </w:p>
    <w:p w:rsidR="00205874" w:rsidRPr="00786463" w:rsidRDefault="00205874" w:rsidP="00205874">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Tugwell</w:t>
      </w:r>
      <w:proofErr w:type="spellEnd"/>
      <w:r w:rsidRPr="00786463">
        <w:rPr>
          <w:rFonts w:ascii="Times New Roman" w:eastAsia="Calibri" w:hAnsi="Times New Roman"/>
          <w:sz w:val="24"/>
          <w:szCs w:val="24"/>
          <w:lang w:bidi="ar-SA"/>
        </w:rPr>
        <w:t xml:space="preserve"> P, </w:t>
      </w:r>
      <w:proofErr w:type="spellStart"/>
      <w:r w:rsidRPr="00786463">
        <w:rPr>
          <w:rFonts w:ascii="Times New Roman" w:eastAsia="Calibri" w:hAnsi="Times New Roman"/>
          <w:sz w:val="24"/>
          <w:szCs w:val="24"/>
          <w:lang w:bidi="ar-SA"/>
        </w:rPr>
        <w:t>Petticrew</w:t>
      </w:r>
      <w:proofErr w:type="spellEnd"/>
      <w:r w:rsidRPr="00786463">
        <w:rPr>
          <w:rFonts w:ascii="Times New Roman" w:eastAsia="Calibri" w:hAnsi="Times New Roman"/>
          <w:sz w:val="24"/>
          <w:szCs w:val="24"/>
          <w:lang w:bidi="ar-SA"/>
        </w:rPr>
        <w:t xml:space="preserve"> M, Robinson V,</w:t>
      </w:r>
      <w:r>
        <w:rPr>
          <w:rFonts w:ascii="Times New Roman" w:eastAsia="Calibri" w:hAnsi="Times New Roman"/>
          <w:sz w:val="24"/>
          <w:szCs w:val="24"/>
          <w:lang w:bidi="ar-SA"/>
        </w:rPr>
        <w:t xml:space="preserve"> </w:t>
      </w:r>
      <w:proofErr w:type="spellStart"/>
      <w:r>
        <w:rPr>
          <w:rFonts w:ascii="Times New Roman" w:eastAsia="Calibri" w:hAnsi="Times New Roman"/>
          <w:sz w:val="24"/>
          <w:szCs w:val="24"/>
          <w:lang w:bidi="ar-SA"/>
        </w:rPr>
        <w:t>Kristjansson</w:t>
      </w:r>
      <w:proofErr w:type="spellEnd"/>
      <w:r>
        <w:rPr>
          <w:rFonts w:ascii="Times New Roman" w:eastAsia="Calibri" w:hAnsi="Times New Roman"/>
          <w:sz w:val="24"/>
          <w:szCs w:val="24"/>
          <w:lang w:bidi="ar-SA"/>
        </w:rPr>
        <w:t xml:space="preserve"> E, Maxwell L, et al.</w:t>
      </w:r>
      <w:r w:rsidRPr="00786463">
        <w:rPr>
          <w:rFonts w:ascii="Times New Roman" w:eastAsia="Calibri" w:hAnsi="Times New Roman"/>
          <w:sz w:val="24"/>
          <w:szCs w:val="24"/>
          <w:lang w:bidi="ar-SA"/>
        </w:rPr>
        <w:t xml:space="preserve"> (2006) Cochrane and Campbell Collaborations, and health equity. </w:t>
      </w:r>
      <w:r w:rsidRPr="00786463">
        <w:rPr>
          <w:rFonts w:ascii="Times New Roman" w:eastAsia="Calibri" w:hAnsi="Times New Roman"/>
          <w:iCs/>
          <w:sz w:val="24"/>
          <w:szCs w:val="24"/>
          <w:lang w:bidi="ar-SA"/>
        </w:rPr>
        <w:t>Lancet</w:t>
      </w:r>
      <w:r w:rsidRPr="00786463">
        <w:rPr>
          <w:rFonts w:ascii="Times New Roman" w:eastAsia="Calibri" w:hAnsi="Times New Roman"/>
          <w:sz w:val="24"/>
          <w:szCs w:val="24"/>
          <w:lang w:bidi="ar-SA"/>
        </w:rPr>
        <w:t xml:space="preserve"> 367(9517): 1128-1130.</w:t>
      </w:r>
    </w:p>
    <w:p w:rsidR="00B6366D" w:rsidRPr="00D83341" w:rsidRDefault="00B6366D" w:rsidP="00B6366D">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Hunt P, </w:t>
      </w:r>
      <w:proofErr w:type="spellStart"/>
      <w:r w:rsidRPr="00786463">
        <w:rPr>
          <w:rFonts w:ascii="Times New Roman" w:eastAsia="Calibri" w:hAnsi="Times New Roman"/>
          <w:sz w:val="24"/>
          <w:szCs w:val="24"/>
          <w:lang w:bidi="ar-SA"/>
        </w:rPr>
        <w:t>Backman</w:t>
      </w:r>
      <w:proofErr w:type="spellEnd"/>
      <w:r w:rsidRPr="00786463">
        <w:rPr>
          <w:rFonts w:ascii="Times New Roman" w:eastAsia="Calibri" w:hAnsi="Times New Roman"/>
          <w:sz w:val="24"/>
          <w:szCs w:val="24"/>
          <w:lang w:bidi="ar-SA"/>
        </w:rPr>
        <w:t xml:space="preserve"> G (2008) Health systems and the right to the highest attainable standard of</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health</w:t>
      </w:r>
      <w:r w:rsidRPr="00786463">
        <w:rPr>
          <w:rFonts w:ascii="Times New Roman" w:eastAsia="Calibri" w:hAnsi="Times New Roman"/>
          <w:i/>
          <w:iCs/>
          <w:sz w:val="24"/>
          <w:szCs w:val="24"/>
          <w:lang w:bidi="ar-SA"/>
        </w:rPr>
        <w:t xml:space="preserve">. </w:t>
      </w:r>
      <w:r w:rsidRPr="00786463">
        <w:rPr>
          <w:rFonts w:ascii="Times New Roman" w:eastAsia="Calibri" w:hAnsi="Times New Roman"/>
          <w:iCs/>
          <w:sz w:val="24"/>
          <w:szCs w:val="24"/>
          <w:lang w:bidi="ar-SA"/>
        </w:rPr>
        <w:t>Health &amp; Human Rights</w:t>
      </w:r>
      <w:r w:rsidRPr="00786463">
        <w:rPr>
          <w:rFonts w:ascii="Times New Roman" w:eastAsia="Calibri" w:hAnsi="Times New Roman"/>
          <w:sz w:val="24"/>
          <w:szCs w:val="24"/>
          <w:lang w:bidi="ar-SA"/>
        </w:rPr>
        <w:t xml:space="preserve"> 10(1): 81-92.</w:t>
      </w:r>
    </w:p>
    <w:p w:rsidR="00B6366D" w:rsidRPr="00786463" w:rsidRDefault="00B6366D" w:rsidP="00B6366D">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Rifkin SB (2003) </w:t>
      </w:r>
      <w:proofErr w:type="gramStart"/>
      <w:r w:rsidRPr="00786463">
        <w:rPr>
          <w:rFonts w:ascii="Times New Roman" w:eastAsia="Calibri" w:hAnsi="Times New Roman"/>
          <w:sz w:val="24"/>
          <w:szCs w:val="24"/>
          <w:lang w:bidi="ar-SA"/>
        </w:rPr>
        <w:t>A</w:t>
      </w:r>
      <w:proofErr w:type="gramEnd"/>
      <w:r w:rsidRPr="00786463">
        <w:rPr>
          <w:rFonts w:ascii="Times New Roman" w:eastAsia="Calibri" w:hAnsi="Times New Roman"/>
          <w:sz w:val="24"/>
          <w:szCs w:val="24"/>
          <w:lang w:bidi="ar-SA"/>
        </w:rPr>
        <w:t xml:space="preserve"> framework linking community empowerment and health equity: It is a matter</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 xml:space="preserve">of CHOICE. </w:t>
      </w:r>
      <w:r w:rsidRPr="00786463">
        <w:rPr>
          <w:rFonts w:ascii="Times New Roman" w:eastAsia="Calibri" w:hAnsi="Times New Roman"/>
          <w:iCs/>
          <w:sz w:val="24"/>
          <w:szCs w:val="24"/>
          <w:lang w:bidi="ar-SA"/>
        </w:rPr>
        <w:t>Journal of Health, Population &amp; Nutrition</w:t>
      </w:r>
      <w:r w:rsidRPr="00786463">
        <w:rPr>
          <w:rFonts w:ascii="Times New Roman" w:eastAsia="Calibri" w:hAnsi="Times New Roman"/>
          <w:sz w:val="24"/>
          <w:szCs w:val="24"/>
          <w:lang w:bidi="ar-SA"/>
        </w:rPr>
        <w:t xml:space="preserve"> 21(3): 168-180.</w:t>
      </w:r>
    </w:p>
    <w:p w:rsidR="00B6366D" w:rsidRPr="00786463" w:rsidRDefault="00B6366D" w:rsidP="00B6366D">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Whitehead M (2000) </w:t>
      </w:r>
      <w:proofErr w:type="gramStart"/>
      <w:r w:rsidRPr="00786463">
        <w:rPr>
          <w:rFonts w:ascii="Times New Roman" w:eastAsia="Calibri" w:hAnsi="Times New Roman"/>
          <w:iCs/>
          <w:sz w:val="24"/>
          <w:szCs w:val="24"/>
          <w:lang w:bidi="ar-SA"/>
        </w:rPr>
        <w:t>The</w:t>
      </w:r>
      <w:proofErr w:type="gramEnd"/>
      <w:r w:rsidRPr="00786463">
        <w:rPr>
          <w:rFonts w:ascii="Times New Roman" w:eastAsia="Calibri" w:hAnsi="Times New Roman"/>
          <w:iCs/>
          <w:sz w:val="24"/>
          <w:szCs w:val="24"/>
          <w:lang w:bidi="ar-SA"/>
        </w:rPr>
        <w:t xml:space="preserve"> Concepts and Principles of Equity and Health</w:t>
      </w:r>
      <w:r w:rsidRPr="00786463">
        <w:rPr>
          <w:rFonts w:ascii="Times New Roman" w:eastAsia="Calibri" w:hAnsi="Times New Roman"/>
          <w:sz w:val="24"/>
          <w:szCs w:val="24"/>
          <w:lang w:bidi="ar-SA"/>
        </w:rPr>
        <w:t>. World Health</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Organization Regional Office for Europe, Copenhagen.</w:t>
      </w:r>
    </w:p>
    <w:p w:rsidR="00B6366D" w:rsidRPr="00786463" w:rsidRDefault="00B6366D" w:rsidP="00B6366D">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Loeb M, </w:t>
      </w:r>
      <w:proofErr w:type="spellStart"/>
      <w:r w:rsidRPr="00786463">
        <w:rPr>
          <w:rFonts w:ascii="Times New Roman" w:eastAsia="Calibri" w:hAnsi="Times New Roman"/>
          <w:sz w:val="24"/>
          <w:szCs w:val="24"/>
          <w:lang w:bidi="ar-SA"/>
        </w:rPr>
        <w:t>Grut</w:t>
      </w:r>
      <w:proofErr w:type="spellEnd"/>
      <w:r w:rsidRPr="00786463">
        <w:rPr>
          <w:rFonts w:ascii="Times New Roman" w:eastAsia="Calibri" w:hAnsi="Times New Roman"/>
          <w:sz w:val="24"/>
          <w:szCs w:val="24"/>
          <w:lang w:bidi="ar-SA"/>
        </w:rPr>
        <w:t xml:space="preserve"> L (2005) </w:t>
      </w:r>
      <w:r w:rsidRPr="00786463">
        <w:rPr>
          <w:rFonts w:ascii="Times New Roman" w:eastAsia="Calibri" w:hAnsi="Times New Roman"/>
          <w:iCs/>
          <w:sz w:val="24"/>
          <w:szCs w:val="24"/>
          <w:lang w:bidi="ar-SA"/>
        </w:rPr>
        <w:t>Women with Disabilities Sharing Knowledge: Education, Employment,</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Reproductive History.</w:t>
      </w:r>
      <w:r w:rsidRPr="00786463">
        <w:rPr>
          <w:rFonts w:ascii="Times New Roman" w:eastAsia="Calibri" w:hAnsi="Times New Roman"/>
          <w:i/>
          <w:iCs/>
          <w:sz w:val="24"/>
          <w:szCs w:val="24"/>
          <w:lang w:bidi="ar-SA"/>
        </w:rPr>
        <w:t xml:space="preserve"> </w:t>
      </w:r>
      <w:r w:rsidRPr="00786463">
        <w:rPr>
          <w:rFonts w:ascii="Times New Roman" w:eastAsia="Calibri" w:hAnsi="Times New Roman"/>
          <w:sz w:val="24"/>
          <w:szCs w:val="24"/>
          <w:lang w:bidi="ar-SA"/>
        </w:rPr>
        <w:t>SINTEF Report.</w:t>
      </w:r>
    </w:p>
    <w:p w:rsidR="00B6366D" w:rsidRPr="00786463" w:rsidRDefault="00B6366D" w:rsidP="00B6366D">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World Health Organization (2002) </w:t>
      </w:r>
      <w:r w:rsidRPr="00786463">
        <w:rPr>
          <w:rFonts w:ascii="Times New Roman" w:eastAsia="Calibri" w:hAnsi="Times New Roman"/>
          <w:iCs/>
          <w:sz w:val="24"/>
          <w:szCs w:val="24"/>
          <w:lang w:bidi="ar-SA"/>
        </w:rPr>
        <w:t>Integrating Gender Perspectives in the Work of WHO: WHO</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Gender Policy</w:t>
      </w:r>
      <w:r w:rsidRPr="00786463">
        <w:rPr>
          <w:rFonts w:ascii="Times New Roman" w:eastAsia="Calibri" w:hAnsi="Times New Roman"/>
          <w:sz w:val="24"/>
          <w:szCs w:val="24"/>
          <w:lang w:bidi="ar-SA"/>
        </w:rPr>
        <w:t>. World Health Organization.</w:t>
      </w:r>
    </w:p>
    <w:p w:rsidR="00EC3F6D" w:rsidRPr="005E5F23" w:rsidRDefault="00EC3F6D" w:rsidP="00EC3F6D">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World Health Organization (2010) </w:t>
      </w:r>
      <w:proofErr w:type="gramStart"/>
      <w:r w:rsidRPr="00786463">
        <w:rPr>
          <w:rFonts w:ascii="Times New Roman" w:eastAsia="Calibri" w:hAnsi="Times New Roman"/>
          <w:iCs/>
          <w:sz w:val="24"/>
          <w:szCs w:val="24"/>
          <w:lang w:bidi="ar-SA"/>
        </w:rPr>
        <w:t>The</w:t>
      </w:r>
      <w:proofErr w:type="gramEnd"/>
      <w:r w:rsidRPr="00786463">
        <w:rPr>
          <w:rFonts w:ascii="Times New Roman" w:eastAsia="Calibri" w:hAnsi="Times New Roman"/>
          <w:iCs/>
          <w:sz w:val="24"/>
          <w:szCs w:val="24"/>
          <w:lang w:bidi="ar-SA"/>
        </w:rPr>
        <w:t xml:space="preserve"> Case for Change. Background Paper for the Conference:</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Better Health, Better Lives: Children and Young People with Intellectual Disabilities and their</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Families</w:t>
      </w:r>
      <w:r w:rsidRPr="00786463">
        <w:rPr>
          <w:rFonts w:ascii="Times New Roman" w:eastAsia="Calibri" w:hAnsi="Times New Roman"/>
          <w:sz w:val="24"/>
          <w:szCs w:val="24"/>
          <w:lang w:bidi="ar-SA"/>
        </w:rPr>
        <w:t>. World Health Organization Regional Office for Europe.</w:t>
      </w:r>
    </w:p>
    <w:p w:rsidR="00EC3F6D" w:rsidRPr="00786463" w:rsidRDefault="00EC3F6D" w:rsidP="00EC3F6D">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Pan American Health Organization (2008) </w:t>
      </w:r>
      <w:r w:rsidRPr="00786463">
        <w:rPr>
          <w:rFonts w:ascii="Times New Roman" w:eastAsia="Calibri" w:hAnsi="Times New Roman"/>
          <w:iCs/>
          <w:sz w:val="24"/>
          <w:szCs w:val="24"/>
          <w:lang w:bidi="ar-SA"/>
        </w:rPr>
        <w:t>Human Rights and Health: Persons with Disabilities</w:t>
      </w:r>
      <w:r w:rsidRPr="00786463">
        <w:rPr>
          <w:rFonts w:ascii="Times New Roman" w:eastAsia="Calibri" w:hAnsi="Times New Roman"/>
          <w:sz w:val="24"/>
          <w:szCs w:val="24"/>
          <w:lang w:bidi="ar-SA"/>
        </w:rPr>
        <w:t>. Pan</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American Health Organization.</w:t>
      </w:r>
    </w:p>
    <w:p w:rsidR="00EC3F6D" w:rsidRPr="00786463" w:rsidRDefault="00EC3F6D" w:rsidP="00EC3F6D">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lastRenderedPageBreak/>
        <w:t>Panter</w:t>
      </w:r>
      <w:proofErr w:type="spellEnd"/>
      <w:r w:rsidRPr="00786463">
        <w:rPr>
          <w:rFonts w:ascii="Times New Roman" w:eastAsia="Calibri" w:hAnsi="Times New Roman"/>
          <w:sz w:val="24"/>
          <w:szCs w:val="24"/>
          <w:lang w:bidi="ar-SA"/>
        </w:rPr>
        <w:t xml:space="preserve">-Brick C (2002) Street children, human rights, and public health: A critique and future directions. </w:t>
      </w:r>
      <w:r w:rsidRPr="00786463">
        <w:rPr>
          <w:rFonts w:ascii="Times New Roman" w:eastAsia="Calibri" w:hAnsi="Times New Roman"/>
          <w:iCs/>
          <w:sz w:val="24"/>
          <w:szCs w:val="24"/>
          <w:lang w:bidi="ar-SA"/>
        </w:rPr>
        <w:t>Annual Review of Anthropology</w:t>
      </w:r>
      <w:r w:rsidRPr="00786463">
        <w:rPr>
          <w:rFonts w:ascii="Times New Roman" w:eastAsia="Calibri" w:hAnsi="Times New Roman"/>
          <w:sz w:val="24"/>
          <w:szCs w:val="24"/>
          <w:lang w:bidi="ar-SA"/>
        </w:rPr>
        <w:t xml:space="preserve"> 31: 147-71.</w:t>
      </w:r>
    </w:p>
    <w:p w:rsidR="00942CB2" w:rsidRPr="00786463" w:rsidRDefault="00942CB2" w:rsidP="00942CB2">
      <w:pPr>
        <w:numPr>
          <w:ilvl w:val="0"/>
          <w:numId w:val="2"/>
        </w:numPr>
        <w:spacing w:line="240" w:lineRule="auto"/>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La Rosa-Salas V, </w:t>
      </w:r>
      <w:proofErr w:type="spellStart"/>
      <w:r w:rsidRPr="00786463">
        <w:rPr>
          <w:rFonts w:ascii="Times New Roman" w:eastAsia="Calibri" w:hAnsi="Times New Roman"/>
          <w:sz w:val="24"/>
          <w:szCs w:val="24"/>
          <w:lang w:bidi="ar-SA"/>
        </w:rPr>
        <w:t>Tricas-Sauras</w:t>
      </w:r>
      <w:proofErr w:type="spellEnd"/>
      <w:r w:rsidRPr="00786463">
        <w:rPr>
          <w:rFonts w:ascii="Times New Roman" w:eastAsia="Calibri" w:hAnsi="Times New Roman"/>
          <w:sz w:val="24"/>
          <w:szCs w:val="24"/>
          <w:lang w:bidi="ar-SA"/>
        </w:rPr>
        <w:t xml:space="preserve"> S (2008) Equity in health care. </w:t>
      </w:r>
      <w:proofErr w:type="spellStart"/>
      <w:r w:rsidRPr="00786463">
        <w:rPr>
          <w:rFonts w:ascii="Times New Roman" w:eastAsia="Calibri" w:hAnsi="Times New Roman"/>
          <w:sz w:val="24"/>
          <w:szCs w:val="24"/>
          <w:lang w:bidi="ar-SA"/>
        </w:rPr>
        <w:t>Cuadernos</w:t>
      </w:r>
      <w:proofErr w:type="spellEnd"/>
      <w:r w:rsidRPr="00786463">
        <w:rPr>
          <w:rFonts w:ascii="Times New Roman" w:eastAsia="Calibri" w:hAnsi="Times New Roman"/>
          <w:sz w:val="24"/>
          <w:szCs w:val="24"/>
          <w:lang w:bidi="ar-SA"/>
        </w:rPr>
        <w:t xml:space="preserve"> de </w:t>
      </w:r>
      <w:proofErr w:type="spellStart"/>
      <w:r w:rsidRPr="00786463">
        <w:rPr>
          <w:rFonts w:ascii="Times New Roman" w:eastAsia="Calibri" w:hAnsi="Times New Roman"/>
          <w:sz w:val="24"/>
          <w:szCs w:val="24"/>
          <w:lang w:bidi="ar-SA"/>
        </w:rPr>
        <w:t>Bioetica</w:t>
      </w:r>
      <w:proofErr w:type="spellEnd"/>
      <w:r w:rsidRPr="00786463">
        <w:rPr>
          <w:rFonts w:ascii="Times New Roman" w:eastAsia="Calibri" w:hAnsi="Times New Roman"/>
          <w:sz w:val="24"/>
          <w:szCs w:val="24"/>
          <w:lang w:bidi="ar-SA"/>
        </w:rPr>
        <w:t xml:space="preserve"> 19(66): 355-68.</w:t>
      </w:r>
    </w:p>
    <w:p w:rsidR="00942CB2" w:rsidRPr="00786463" w:rsidRDefault="00942CB2" w:rsidP="00942CB2">
      <w:pPr>
        <w:numPr>
          <w:ilvl w:val="0"/>
          <w:numId w:val="2"/>
        </w:numPr>
        <w:spacing w:line="240" w:lineRule="auto"/>
        <w:ind w:right="-29"/>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Braveman</w:t>
      </w:r>
      <w:proofErr w:type="spellEnd"/>
      <w:r w:rsidRPr="00786463">
        <w:rPr>
          <w:rFonts w:ascii="Times New Roman" w:eastAsia="Calibri" w:hAnsi="Times New Roman"/>
          <w:sz w:val="24"/>
          <w:szCs w:val="24"/>
          <w:lang w:bidi="ar-SA"/>
        </w:rPr>
        <w:t xml:space="preserve"> P (2006) Health disparities and health equity: Concepts and measurement. </w:t>
      </w:r>
      <w:proofErr w:type="spellStart"/>
      <w:r w:rsidRPr="00786463">
        <w:rPr>
          <w:rFonts w:ascii="Times New Roman" w:eastAsia="Calibri" w:hAnsi="Times New Roman"/>
          <w:sz w:val="24"/>
          <w:szCs w:val="24"/>
          <w:lang w:bidi="ar-SA"/>
        </w:rPr>
        <w:t>Annu</w:t>
      </w:r>
      <w:proofErr w:type="spellEnd"/>
      <w:r w:rsidRPr="00786463">
        <w:rPr>
          <w:rFonts w:ascii="Times New Roman" w:eastAsia="Calibri" w:hAnsi="Times New Roman"/>
          <w:sz w:val="24"/>
          <w:szCs w:val="24"/>
          <w:lang w:bidi="ar-SA"/>
        </w:rPr>
        <w:t xml:space="preserve"> Rev Public Health</w:t>
      </w:r>
      <w:r w:rsidRPr="00786463">
        <w:rPr>
          <w:rFonts w:ascii="Times New Roman" w:eastAsia="Calibri" w:hAnsi="Times New Roman"/>
          <w:i/>
          <w:sz w:val="24"/>
          <w:szCs w:val="24"/>
          <w:lang w:bidi="ar-SA"/>
        </w:rPr>
        <w:t xml:space="preserve"> </w:t>
      </w:r>
      <w:r w:rsidRPr="00786463">
        <w:rPr>
          <w:rFonts w:ascii="Times New Roman" w:eastAsia="Calibri" w:hAnsi="Times New Roman"/>
          <w:sz w:val="24"/>
          <w:szCs w:val="24"/>
          <w:lang w:bidi="ar-SA"/>
        </w:rPr>
        <w:t>27: 167-94.</w:t>
      </w:r>
    </w:p>
    <w:p w:rsidR="00BB7FA7" w:rsidRPr="00786463" w:rsidRDefault="00BB7FA7" w:rsidP="00BB7FA7">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Doebbler</w:t>
      </w:r>
      <w:proofErr w:type="spellEnd"/>
      <w:r w:rsidRPr="00786463">
        <w:rPr>
          <w:rFonts w:ascii="Times New Roman" w:eastAsia="Calibri" w:hAnsi="Times New Roman"/>
          <w:sz w:val="24"/>
          <w:szCs w:val="24"/>
          <w:lang w:bidi="ar-SA"/>
        </w:rPr>
        <w:t xml:space="preserve"> CF (2001) </w:t>
      </w:r>
      <w:proofErr w:type="gramStart"/>
      <w:r w:rsidRPr="00786463">
        <w:rPr>
          <w:rFonts w:ascii="Times New Roman" w:eastAsia="Calibri" w:hAnsi="Times New Roman"/>
          <w:sz w:val="24"/>
          <w:szCs w:val="24"/>
          <w:lang w:bidi="ar-SA"/>
        </w:rPr>
        <w:t>The</w:t>
      </w:r>
      <w:proofErr w:type="gramEnd"/>
      <w:r w:rsidRPr="00786463">
        <w:rPr>
          <w:rFonts w:ascii="Times New Roman" w:eastAsia="Calibri" w:hAnsi="Times New Roman"/>
          <w:sz w:val="24"/>
          <w:szCs w:val="24"/>
          <w:lang w:bidi="ar-SA"/>
        </w:rPr>
        <w:t xml:space="preserve"> right to health of children and the World Bank. </w:t>
      </w:r>
      <w:r w:rsidRPr="00786463">
        <w:rPr>
          <w:rFonts w:ascii="Times New Roman" w:eastAsia="Calibri" w:hAnsi="Times New Roman"/>
          <w:iCs/>
          <w:sz w:val="24"/>
          <w:szCs w:val="24"/>
          <w:lang w:bidi="ar-SA"/>
        </w:rPr>
        <w:t>Health &amp; Human Rights</w:t>
      </w:r>
      <w:r w:rsidRPr="00786463">
        <w:rPr>
          <w:rFonts w:ascii="Times New Roman" w:eastAsia="Calibri" w:hAnsi="Times New Roman"/>
          <w:sz w:val="24"/>
          <w:szCs w:val="24"/>
          <w:lang w:bidi="ar-SA"/>
        </w:rPr>
        <w:t xml:space="preserve"> 5(2): 120-146.</w:t>
      </w:r>
    </w:p>
    <w:p w:rsidR="00F666F7" w:rsidRPr="00786463" w:rsidRDefault="00F666F7" w:rsidP="00F666F7">
      <w:pPr>
        <w:numPr>
          <w:ilvl w:val="0"/>
          <w:numId w:val="2"/>
        </w:numPr>
        <w:spacing w:line="240" w:lineRule="auto"/>
        <w:contextualSpacing/>
        <w:rPr>
          <w:rFonts w:ascii="Times New Roman" w:hAnsi="Times New Roman"/>
          <w:sz w:val="24"/>
          <w:szCs w:val="24"/>
          <w:lang w:bidi="ar-SA"/>
        </w:rPr>
      </w:pPr>
      <w:proofErr w:type="spellStart"/>
      <w:r w:rsidRPr="00786463">
        <w:rPr>
          <w:rFonts w:ascii="Times New Roman" w:eastAsia="Calibri" w:hAnsi="Times New Roman"/>
          <w:sz w:val="24"/>
          <w:szCs w:val="24"/>
          <w:lang w:bidi="ar-SA"/>
        </w:rPr>
        <w:t>MacLachlan</w:t>
      </w:r>
      <w:proofErr w:type="spellEnd"/>
      <w:r w:rsidRPr="00786463">
        <w:rPr>
          <w:rFonts w:ascii="Times New Roman" w:eastAsia="Calibri" w:hAnsi="Times New Roman"/>
          <w:sz w:val="24"/>
          <w:szCs w:val="24"/>
          <w:lang w:bidi="ar-SA"/>
        </w:rPr>
        <w:t xml:space="preserve"> M (2006) </w:t>
      </w:r>
      <w:r w:rsidRPr="00786463">
        <w:rPr>
          <w:rFonts w:ascii="Times New Roman" w:eastAsia="Calibri" w:hAnsi="Times New Roman"/>
          <w:iCs/>
          <w:sz w:val="24"/>
          <w:szCs w:val="24"/>
          <w:lang w:bidi="ar-SA"/>
        </w:rPr>
        <w:t>Culture &amp; health: A critical perspective towards global health (Second</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Edition).</w:t>
      </w:r>
      <w:r w:rsidRPr="00786463">
        <w:rPr>
          <w:rFonts w:ascii="Times New Roman" w:eastAsia="Calibri" w:hAnsi="Times New Roman"/>
          <w:i/>
          <w:iCs/>
          <w:sz w:val="24"/>
          <w:szCs w:val="24"/>
          <w:lang w:bidi="ar-SA"/>
        </w:rPr>
        <w:t xml:space="preserve"> </w:t>
      </w:r>
      <w:proofErr w:type="spellStart"/>
      <w:r w:rsidRPr="00786463">
        <w:rPr>
          <w:rFonts w:ascii="Times New Roman" w:eastAsia="Calibri" w:hAnsi="Times New Roman"/>
          <w:sz w:val="24"/>
          <w:szCs w:val="24"/>
          <w:lang w:bidi="ar-SA"/>
        </w:rPr>
        <w:t>Chichester</w:t>
      </w:r>
      <w:proofErr w:type="spellEnd"/>
      <w:r w:rsidRPr="00786463">
        <w:rPr>
          <w:rFonts w:ascii="Times New Roman" w:eastAsia="Calibri" w:hAnsi="Times New Roman"/>
          <w:sz w:val="24"/>
          <w:szCs w:val="24"/>
          <w:lang w:bidi="ar-SA"/>
        </w:rPr>
        <w:t>: Wiley.</w:t>
      </w:r>
    </w:p>
    <w:p w:rsidR="00F666F7" w:rsidRPr="00260A5E" w:rsidRDefault="00F666F7" w:rsidP="00F666F7">
      <w:pPr>
        <w:numPr>
          <w:ilvl w:val="0"/>
          <w:numId w:val="2"/>
        </w:numPr>
        <w:spacing w:line="240" w:lineRule="auto"/>
        <w:contextualSpacing/>
        <w:rPr>
          <w:rFonts w:ascii="Times New Roman" w:hAnsi="Times New Roman"/>
          <w:sz w:val="24"/>
          <w:szCs w:val="24"/>
          <w:lang w:bidi="ar-SA"/>
        </w:rPr>
      </w:pPr>
      <w:r w:rsidRPr="00786463">
        <w:rPr>
          <w:rFonts w:ascii="Times New Roman" w:eastAsia="Calibri" w:hAnsi="Times New Roman"/>
          <w:sz w:val="24"/>
          <w:szCs w:val="24"/>
          <w:lang w:bidi="ar-SA"/>
        </w:rPr>
        <w:t xml:space="preserve">World Health Organization (2002) </w:t>
      </w:r>
      <w:r w:rsidRPr="00786463">
        <w:rPr>
          <w:rFonts w:ascii="Times New Roman" w:eastAsia="Calibri" w:hAnsi="Times New Roman"/>
          <w:iCs/>
          <w:sz w:val="24"/>
          <w:szCs w:val="24"/>
          <w:lang w:bidi="ar-SA"/>
        </w:rPr>
        <w:t xml:space="preserve">25 Questions &amp; Answers on Health &amp; Human Rights. </w:t>
      </w:r>
      <w:r w:rsidRPr="00786463">
        <w:rPr>
          <w:rFonts w:ascii="Times New Roman" w:eastAsia="Calibri" w:hAnsi="Times New Roman"/>
          <w:sz w:val="24"/>
          <w:szCs w:val="24"/>
          <w:lang w:bidi="ar-SA"/>
        </w:rPr>
        <w:t>Health &amp;</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Human Rights Publication Series 1.</w:t>
      </w:r>
    </w:p>
    <w:p w:rsidR="00F666F7" w:rsidRPr="00786463" w:rsidRDefault="00F666F7" w:rsidP="00F666F7">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Dixon Woods M, Kirk D, </w:t>
      </w:r>
      <w:proofErr w:type="spellStart"/>
      <w:r w:rsidRPr="00786463">
        <w:rPr>
          <w:rFonts w:ascii="Times New Roman" w:eastAsia="Calibri" w:hAnsi="Times New Roman"/>
          <w:sz w:val="24"/>
          <w:szCs w:val="24"/>
          <w:lang w:bidi="ar-SA"/>
        </w:rPr>
        <w:t>Agarwal</w:t>
      </w:r>
      <w:proofErr w:type="spellEnd"/>
      <w:r w:rsidRPr="00786463">
        <w:rPr>
          <w:rFonts w:ascii="Times New Roman" w:eastAsia="Calibri" w:hAnsi="Times New Roman"/>
          <w:sz w:val="24"/>
          <w:szCs w:val="24"/>
          <w:lang w:bidi="ar-SA"/>
        </w:rPr>
        <w:t xml:space="preserve"> S, Annandale E, Arthur T, </w:t>
      </w:r>
      <w:r>
        <w:rPr>
          <w:rFonts w:ascii="Times New Roman" w:eastAsia="Calibri" w:hAnsi="Times New Roman"/>
          <w:sz w:val="24"/>
          <w:szCs w:val="24"/>
          <w:lang w:bidi="ar-SA"/>
        </w:rPr>
        <w:t xml:space="preserve">et al. </w:t>
      </w:r>
      <w:r w:rsidRPr="00786463">
        <w:rPr>
          <w:rFonts w:ascii="Times New Roman" w:eastAsia="Calibri" w:hAnsi="Times New Roman"/>
          <w:sz w:val="24"/>
          <w:szCs w:val="24"/>
          <w:lang w:bidi="ar-SA"/>
        </w:rPr>
        <w:t xml:space="preserve">(2005) </w:t>
      </w:r>
      <w:r w:rsidRPr="00786463">
        <w:rPr>
          <w:rFonts w:ascii="Times New Roman" w:eastAsia="Calibri" w:hAnsi="Times New Roman"/>
          <w:iCs/>
          <w:sz w:val="24"/>
          <w:szCs w:val="24"/>
          <w:lang w:bidi="ar-SA"/>
        </w:rPr>
        <w:t>Vulnerable Groups and Access to Healthcare: A</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Critical Interpretive Review</w:t>
      </w:r>
      <w:r w:rsidRPr="00786463">
        <w:rPr>
          <w:rFonts w:ascii="Times New Roman" w:eastAsia="Calibri" w:hAnsi="Times New Roman"/>
          <w:sz w:val="24"/>
          <w:szCs w:val="24"/>
          <w:lang w:bidi="ar-SA"/>
        </w:rPr>
        <w:t>. National Co-</w:t>
      </w:r>
      <w:proofErr w:type="spellStart"/>
      <w:r w:rsidRPr="00786463">
        <w:rPr>
          <w:rFonts w:ascii="Times New Roman" w:eastAsia="Calibri" w:hAnsi="Times New Roman"/>
          <w:sz w:val="24"/>
          <w:szCs w:val="24"/>
          <w:lang w:bidi="ar-SA"/>
        </w:rPr>
        <w:t>ordinating</w:t>
      </w:r>
      <w:proofErr w:type="spellEnd"/>
      <w:r w:rsidRPr="00786463">
        <w:rPr>
          <w:rFonts w:ascii="Times New Roman" w:eastAsia="Calibri" w:hAnsi="Times New Roman"/>
          <w:sz w:val="24"/>
          <w:szCs w:val="24"/>
          <w:lang w:bidi="ar-SA"/>
        </w:rPr>
        <w:t xml:space="preserve"> Centre for NHS Service Delivery and Organization R &amp; D.</w:t>
      </w:r>
    </w:p>
    <w:p w:rsidR="00CF70B6" w:rsidRPr="00786463" w:rsidRDefault="00CF70B6" w:rsidP="00CF70B6">
      <w:pPr>
        <w:numPr>
          <w:ilvl w:val="0"/>
          <w:numId w:val="2"/>
        </w:numPr>
        <w:spacing w:line="240" w:lineRule="auto"/>
        <w:contextualSpacing/>
        <w:rPr>
          <w:rFonts w:ascii="Times New Roman" w:hAnsi="Times New Roman"/>
          <w:sz w:val="24"/>
          <w:szCs w:val="24"/>
          <w:lang w:bidi="ar-SA"/>
        </w:rPr>
      </w:pPr>
      <w:proofErr w:type="spellStart"/>
      <w:r w:rsidRPr="00786463">
        <w:rPr>
          <w:rFonts w:ascii="Times New Roman" w:eastAsia="Calibri" w:hAnsi="Times New Roman"/>
          <w:sz w:val="24"/>
          <w:szCs w:val="24"/>
          <w:lang w:bidi="ar-SA"/>
        </w:rPr>
        <w:t>Makwiza</w:t>
      </w:r>
      <w:proofErr w:type="spellEnd"/>
      <w:r w:rsidRPr="00786463">
        <w:rPr>
          <w:rFonts w:ascii="Times New Roman" w:eastAsia="Calibri" w:hAnsi="Times New Roman"/>
          <w:sz w:val="24"/>
          <w:szCs w:val="24"/>
          <w:lang w:bidi="ar-SA"/>
        </w:rPr>
        <w:t xml:space="preserve"> I, </w:t>
      </w:r>
      <w:proofErr w:type="spellStart"/>
      <w:r w:rsidRPr="00786463">
        <w:rPr>
          <w:rFonts w:ascii="Times New Roman" w:eastAsia="Calibri" w:hAnsi="Times New Roman"/>
          <w:sz w:val="24"/>
          <w:szCs w:val="24"/>
          <w:lang w:bidi="ar-SA"/>
        </w:rPr>
        <w:t>Nyirenda</w:t>
      </w:r>
      <w:proofErr w:type="spellEnd"/>
      <w:r w:rsidRPr="00786463">
        <w:rPr>
          <w:rFonts w:ascii="Times New Roman" w:eastAsia="Calibri" w:hAnsi="Times New Roman"/>
          <w:sz w:val="24"/>
          <w:szCs w:val="24"/>
          <w:lang w:bidi="ar-SA"/>
        </w:rPr>
        <w:t xml:space="preserve"> L, </w:t>
      </w:r>
      <w:proofErr w:type="spellStart"/>
      <w:r w:rsidRPr="00786463">
        <w:rPr>
          <w:rFonts w:ascii="Times New Roman" w:eastAsia="Calibri" w:hAnsi="Times New Roman"/>
          <w:sz w:val="24"/>
          <w:szCs w:val="24"/>
          <w:lang w:bidi="ar-SA"/>
        </w:rPr>
        <w:t>Bongololo</w:t>
      </w:r>
      <w:proofErr w:type="spellEnd"/>
      <w:r w:rsidRPr="00786463">
        <w:rPr>
          <w:rFonts w:ascii="Times New Roman" w:eastAsia="Calibri" w:hAnsi="Times New Roman"/>
          <w:sz w:val="24"/>
          <w:szCs w:val="24"/>
          <w:lang w:bidi="ar-SA"/>
        </w:rPr>
        <w:t xml:space="preserve"> G,</w:t>
      </w:r>
      <w:r>
        <w:rPr>
          <w:rFonts w:ascii="Times New Roman" w:eastAsia="Calibri" w:hAnsi="Times New Roman"/>
          <w:sz w:val="24"/>
          <w:szCs w:val="24"/>
          <w:lang w:bidi="ar-SA"/>
        </w:rPr>
        <w:t xml:space="preserve"> Banda T, </w:t>
      </w:r>
      <w:proofErr w:type="spellStart"/>
      <w:r>
        <w:rPr>
          <w:rFonts w:ascii="Times New Roman" w:eastAsia="Calibri" w:hAnsi="Times New Roman"/>
          <w:sz w:val="24"/>
          <w:szCs w:val="24"/>
          <w:lang w:bidi="ar-SA"/>
        </w:rPr>
        <w:t>Chimzizi</w:t>
      </w:r>
      <w:proofErr w:type="spellEnd"/>
      <w:r>
        <w:rPr>
          <w:rFonts w:ascii="Times New Roman" w:eastAsia="Calibri" w:hAnsi="Times New Roman"/>
          <w:sz w:val="24"/>
          <w:szCs w:val="24"/>
          <w:lang w:bidi="ar-SA"/>
        </w:rPr>
        <w:t xml:space="preserve"> R, et al.</w:t>
      </w:r>
      <w:r w:rsidRPr="00786463">
        <w:rPr>
          <w:rFonts w:ascii="Times New Roman" w:eastAsia="Calibri" w:hAnsi="Times New Roman"/>
          <w:sz w:val="24"/>
          <w:szCs w:val="24"/>
          <w:lang w:bidi="ar-SA"/>
        </w:rPr>
        <w:t xml:space="preserve"> (2009) Who has</w:t>
      </w:r>
      <w:r w:rsidRPr="00786463">
        <w:rPr>
          <w:rFonts w:ascii="Times New Roman" w:hAnsi="Times New Roman"/>
          <w:sz w:val="24"/>
          <w:szCs w:val="24"/>
          <w:lang w:bidi="ar-SA"/>
        </w:rPr>
        <w:t xml:space="preserve"> </w:t>
      </w:r>
      <w:r w:rsidRPr="00786463">
        <w:rPr>
          <w:rFonts w:ascii="Times New Roman" w:eastAsia="Calibri" w:hAnsi="Times New Roman"/>
          <w:sz w:val="24"/>
          <w:szCs w:val="24"/>
          <w:lang w:bidi="ar-SA"/>
        </w:rPr>
        <w:t xml:space="preserve">access to </w:t>
      </w:r>
      <w:proofErr w:type="spellStart"/>
      <w:r w:rsidRPr="00786463">
        <w:rPr>
          <w:rFonts w:ascii="Times New Roman" w:eastAsia="Calibri" w:hAnsi="Times New Roman"/>
          <w:sz w:val="24"/>
          <w:szCs w:val="24"/>
          <w:lang w:bidi="ar-SA"/>
        </w:rPr>
        <w:t>counselling</w:t>
      </w:r>
      <w:proofErr w:type="spellEnd"/>
      <w:r w:rsidRPr="00786463">
        <w:rPr>
          <w:rFonts w:ascii="Times New Roman" w:eastAsia="Calibri" w:hAnsi="Times New Roman"/>
          <w:sz w:val="24"/>
          <w:szCs w:val="24"/>
          <w:lang w:bidi="ar-SA"/>
        </w:rPr>
        <w:t xml:space="preserve"> and testing and anti-retroviral therapy in Malawi – an equity analysis.</w:t>
      </w:r>
      <w:r w:rsidRPr="00786463">
        <w:rPr>
          <w:rFonts w:ascii="Times New Roman" w:hAnsi="Times New Roman"/>
          <w:sz w:val="24"/>
          <w:szCs w:val="24"/>
          <w:lang w:bidi="ar-SA"/>
        </w:rPr>
        <w:t xml:space="preserve"> </w:t>
      </w:r>
      <w:r w:rsidRPr="00786463">
        <w:rPr>
          <w:rFonts w:ascii="Times New Roman" w:eastAsia="Calibri" w:hAnsi="Times New Roman"/>
          <w:iCs/>
          <w:sz w:val="24"/>
          <w:szCs w:val="24"/>
          <w:lang w:bidi="ar-SA"/>
        </w:rPr>
        <w:t>International Journal for Equity in Health</w:t>
      </w:r>
      <w:r w:rsidRPr="00786463">
        <w:rPr>
          <w:rFonts w:ascii="Times New Roman" w:eastAsia="Calibri" w:hAnsi="Times New Roman"/>
          <w:sz w:val="24"/>
          <w:szCs w:val="24"/>
          <w:lang w:bidi="ar-SA"/>
        </w:rPr>
        <w:t xml:space="preserve"> 8(13).</w:t>
      </w:r>
    </w:p>
    <w:p w:rsidR="00CF70B6" w:rsidRDefault="00CF70B6" w:rsidP="00CF70B6">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Odaga</w:t>
      </w:r>
      <w:proofErr w:type="spellEnd"/>
      <w:r w:rsidRPr="00786463">
        <w:rPr>
          <w:rFonts w:ascii="Times New Roman" w:eastAsia="Calibri" w:hAnsi="Times New Roman"/>
          <w:sz w:val="24"/>
          <w:szCs w:val="24"/>
          <w:lang w:bidi="ar-SA"/>
        </w:rPr>
        <w:t xml:space="preserve"> J (2004) From Alma Ata to Millennium Development Goals: To what extent has equity been achieved? </w:t>
      </w:r>
      <w:r w:rsidRPr="00786463">
        <w:rPr>
          <w:rFonts w:ascii="Times New Roman" w:eastAsia="Calibri" w:hAnsi="Times New Roman"/>
          <w:iCs/>
          <w:sz w:val="24"/>
          <w:szCs w:val="24"/>
          <w:lang w:bidi="ar-SA"/>
        </w:rPr>
        <w:t>Health Policy &amp; Development</w:t>
      </w:r>
      <w:r w:rsidRPr="00786463">
        <w:rPr>
          <w:rFonts w:ascii="Times New Roman" w:eastAsia="Calibri" w:hAnsi="Times New Roman"/>
          <w:sz w:val="24"/>
          <w:szCs w:val="24"/>
          <w:lang w:bidi="ar-SA"/>
        </w:rPr>
        <w:t xml:space="preserve"> 2(1): 1-6.</w:t>
      </w:r>
    </w:p>
    <w:p w:rsidR="00190C5D" w:rsidRPr="00786463" w:rsidRDefault="00190C5D" w:rsidP="00190C5D">
      <w:pPr>
        <w:numPr>
          <w:ilvl w:val="0"/>
          <w:numId w:val="2"/>
        </w:numPr>
        <w:spacing w:after="0" w:line="240" w:lineRule="auto"/>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Wiman</w:t>
      </w:r>
      <w:proofErr w:type="spellEnd"/>
      <w:r w:rsidRPr="00786463">
        <w:rPr>
          <w:rFonts w:ascii="Times New Roman" w:eastAsia="Calibri" w:hAnsi="Times New Roman"/>
          <w:sz w:val="24"/>
          <w:szCs w:val="24"/>
          <w:lang w:bidi="ar-SA"/>
        </w:rPr>
        <w:t xml:space="preserve"> R, </w:t>
      </w:r>
      <w:proofErr w:type="spellStart"/>
      <w:r w:rsidRPr="00786463">
        <w:rPr>
          <w:rFonts w:ascii="Times New Roman" w:eastAsia="Calibri" w:hAnsi="Times New Roman"/>
          <w:sz w:val="24"/>
          <w:szCs w:val="24"/>
          <w:lang w:bidi="ar-SA"/>
        </w:rPr>
        <w:t>Helander</w:t>
      </w:r>
      <w:proofErr w:type="spellEnd"/>
      <w:r w:rsidRPr="00786463">
        <w:rPr>
          <w:rFonts w:ascii="Times New Roman" w:eastAsia="Calibri" w:hAnsi="Times New Roman"/>
          <w:sz w:val="24"/>
          <w:szCs w:val="24"/>
          <w:lang w:bidi="ar-SA"/>
        </w:rPr>
        <w:t xml:space="preserve"> E, Westland J (2002) Meeting the needs of people with disabilities – New approaches in the health sector. World Bank. Available:  http://bvs.per.paho.org/texcom/cd048370/meeting.pdf. Accessed: May 04, 2011</w:t>
      </w:r>
      <w:r w:rsidRPr="00786463">
        <w:rPr>
          <w:rFonts w:ascii="Times New Roman" w:eastAsia="Calibri" w:hAnsi="Times New Roman"/>
          <w:color w:val="000000"/>
          <w:sz w:val="24"/>
          <w:szCs w:val="24"/>
          <w:lang w:bidi="ar-SA"/>
        </w:rPr>
        <w:t>.</w:t>
      </w:r>
      <w:r w:rsidRPr="00786463">
        <w:rPr>
          <w:rFonts w:ascii="Times New Roman" w:eastAsia="Calibri" w:hAnsi="Times New Roman"/>
          <w:sz w:val="24"/>
          <w:szCs w:val="24"/>
          <w:lang w:bidi="ar-SA"/>
        </w:rPr>
        <w:t xml:space="preserve"> </w:t>
      </w:r>
    </w:p>
    <w:p w:rsidR="00D166DD" w:rsidRPr="008A4CBF" w:rsidRDefault="00D166DD" w:rsidP="00D166DD">
      <w:pPr>
        <w:numPr>
          <w:ilvl w:val="0"/>
          <w:numId w:val="2"/>
        </w:numPr>
        <w:spacing w:line="240" w:lineRule="auto"/>
        <w:contextualSpacing/>
        <w:rPr>
          <w:rFonts w:ascii="Times New Roman" w:hAnsi="Times New Roman"/>
          <w:b/>
          <w:sz w:val="24"/>
          <w:szCs w:val="24"/>
          <w:lang w:bidi="ar-SA"/>
        </w:rPr>
      </w:pPr>
      <w:proofErr w:type="spellStart"/>
      <w:r w:rsidRPr="00786463">
        <w:rPr>
          <w:rFonts w:ascii="Times New Roman" w:eastAsia="Calibri" w:hAnsi="Times New Roman"/>
          <w:sz w:val="24"/>
          <w:szCs w:val="24"/>
          <w:lang w:bidi="ar-SA"/>
        </w:rPr>
        <w:t>MacLachlan</w:t>
      </w:r>
      <w:proofErr w:type="spellEnd"/>
      <w:r w:rsidRPr="00786463">
        <w:rPr>
          <w:rFonts w:ascii="Times New Roman" w:eastAsia="Calibri" w:hAnsi="Times New Roman"/>
          <w:sz w:val="24"/>
          <w:szCs w:val="24"/>
          <w:lang w:bidi="ar-SA"/>
        </w:rPr>
        <w:t xml:space="preserve"> M, </w:t>
      </w:r>
      <w:proofErr w:type="spellStart"/>
      <w:r w:rsidRPr="00786463">
        <w:rPr>
          <w:rFonts w:ascii="Times New Roman" w:eastAsia="Calibri" w:hAnsi="Times New Roman"/>
          <w:sz w:val="24"/>
          <w:szCs w:val="24"/>
          <w:lang w:bidi="ar-SA"/>
        </w:rPr>
        <w:t>Mji</w:t>
      </w:r>
      <w:proofErr w:type="spellEnd"/>
      <w:r w:rsidRPr="00786463">
        <w:rPr>
          <w:rFonts w:ascii="Times New Roman" w:eastAsia="Calibri" w:hAnsi="Times New Roman"/>
          <w:sz w:val="24"/>
          <w:szCs w:val="24"/>
          <w:lang w:bidi="ar-SA"/>
        </w:rPr>
        <w:t xml:space="preserve"> G, McLaren P, </w:t>
      </w:r>
      <w:proofErr w:type="spellStart"/>
      <w:r w:rsidRPr="00786463">
        <w:rPr>
          <w:rFonts w:ascii="Times New Roman" w:eastAsia="Calibri" w:hAnsi="Times New Roman"/>
          <w:sz w:val="24"/>
          <w:szCs w:val="24"/>
          <w:lang w:bidi="ar-SA"/>
        </w:rPr>
        <w:t>Gcaza</w:t>
      </w:r>
      <w:proofErr w:type="spellEnd"/>
      <w:r w:rsidRPr="00786463">
        <w:rPr>
          <w:rFonts w:ascii="Times New Roman" w:eastAsia="Calibri" w:hAnsi="Times New Roman"/>
          <w:sz w:val="24"/>
          <w:szCs w:val="24"/>
          <w:lang w:bidi="ar-SA"/>
        </w:rPr>
        <w:t xml:space="preserve"> S (2009, Volume 1) </w:t>
      </w:r>
      <w:proofErr w:type="spellStart"/>
      <w:r w:rsidRPr="00786463">
        <w:rPr>
          <w:rFonts w:ascii="Times New Roman" w:eastAsia="Calibri" w:hAnsi="Times New Roman"/>
          <w:iCs/>
          <w:sz w:val="24"/>
          <w:szCs w:val="24"/>
          <w:lang w:bidi="ar-SA"/>
        </w:rPr>
        <w:t>Realising</w:t>
      </w:r>
      <w:proofErr w:type="spellEnd"/>
      <w:r w:rsidRPr="00786463">
        <w:rPr>
          <w:rFonts w:ascii="Times New Roman" w:eastAsia="Calibri" w:hAnsi="Times New Roman"/>
          <w:iCs/>
          <w:sz w:val="24"/>
          <w:szCs w:val="24"/>
          <w:lang w:bidi="ar-SA"/>
        </w:rPr>
        <w:t xml:space="preserve"> the Rights of Persons</w:t>
      </w:r>
      <w:r w:rsidRPr="00786463">
        <w:rPr>
          <w:rFonts w:ascii="Times New Roman" w:hAnsi="Times New Roman"/>
          <w:b/>
          <w:sz w:val="24"/>
          <w:szCs w:val="24"/>
          <w:lang w:bidi="ar-SA"/>
        </w:rPr>
        <w:t xml:space="preserve"> </w:t>
      </w:r>
      <w:r w:rsidRPr="00786463">
        <w:rPr>
          <w:rFonts w:ascii="Times New Roman" w:eastAsia="Calibri" w:hAnsi="Times New Roman"/>
          <w:iCs/>
          <w:sz w:val="24"/>
          <w:szCs w:val="24"/>
          <w:lang w:bidi="ar-SA"/>
        </w:rPr>
        <w:t xml:space="preserve">with Disabilities in Africa. </w:t>
      </w:r>
      <w:r w:rsidRPr="00786463">
        <w:rPr>
          <w:rFonts w:ascii="Times New Roman" w:eastAsia="Calibri" w:hAnsi="Times New Roman"/>
          <w:sz w:val="24"/>
          <w:szCs w:val="24"/>
          <w:lang w:bidi="ar-SA"/>
        </w:rPr>
        <w:t xml:space="preserve">Special Issue of </w:t>
      </w:r>
      <w:r w:rsidRPr="00786463">
        <w:rPr>
          <w:rFonts w:ascii="Times New Roman" w:eastAsia="Calibri" w:hAnsi="Times New Roman"/>
          <w:iCs/>
          <w:sz w:val="24"/>
          <w:szCs w:val="24"/>
          <w:lang w:bidi="ar-SA"/>
        </w:rPr>
        <w:t>Disability &amp; Rehabilitation</w:t>
      </w:r>
      <w:r w:rsidRPr="00786463">
        <w:rPr>
          <w:rFonts w:ascii="Times New Roman" w:eastAsia="Calibri" w:hAnsi="Times New Roman"/>
          <w:sz w:val="24"/>
          <w:szCs w:val="24"/>
          <w:lang w:bidi="ar-SA"/>
        </w:rPr>
        <w:t xml:space="preserve"> 1.</w:t>
      </w:r>
    </w:p>
    <w:p w:rsidR="007F0C9E" w:rsidRPr="00786463" w:rsidRDefault="007F0C9E" w:rsidP="007F0C9E">
      <w:pPr>
        <w:numPr>
          <w:ilvl w:val="0"/>
          <w:numId w:val="2"/>
        </w:numPr>
        <w:spacing w:line="240" w:lineRule="auto"/>
        <w:ind w:right="-22"/>
        <w:contextualSpacing/>
        <w:jc w:val="both"/>
        <w:rPr>
          <w:rFonts w:ascii="Times New Roman" w:eastAsia="Calibri" w:hAnsi="Times New Roman"/>
          <w:sz w:val="24"/>
          <w:szCs w:val="24"/>
          <w:lang w:bidi="ar-SA"/>
        </w:rPr>
      </w:pPr>
      <w:proofErr w:type="spellStart"/>
      <w:r w:rsidRPr="00786463">
        <w:rPr>
          <w:rFonts w:ascii="Times New Roman" w:eastAsia="Calibri" w:hAnsi="Times New Roman"/>
          <w:sz w:val="24"/>
          <w:szCs w:val="24"/>
          <w:lang w:bidi="ar-SA"/>
        </w:rPr>
        <w:t>MacLachlan</w:t>
      </w:r>
      <w:proofErr w:type="spellEnd"/>
      <w:r w:rsidRPr="00786463">
        <w:rPr>
          <w:rFonts w:ascii="Times New Roman" w:eastAsia="Calibri" w:hAnsi="Times New Roman"/>
          <w:sz w:val="24"/>
          <w:szCs w:val="24"/>
          <w:lang w:bidi="ar-SA"/>
        </w:rPr>
        <w:t xml:space="preserve"> M, Swartz L (2009) </w:t>
      </w:r>
      <w:r w:rsidRPr="00786463">
        <w:rPr>
          <w:rFonts w:ascii="Times New Roman" w:eastAsia="Calibri" w:hAnsi="Times New Roman"/>
          <w:iCs/>
          <w:sz w:val="24"/>
          <w:szCs w:val="24"/>
          <w:lang w:bidi="ar-SA"/>
        </w:rPr>
        <w:t>Disability &amp; international development: Towards inclusive</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global health</w:t>
      </w:r>
      <w:r w:rsidRPr="00786463">
        <w:rPr>
          <w:rFonts w:ascii="Times New Roman" w:eastAsia="Calibri" w:hAnsi="Times New Roman"/>
          <w:sz w:val="24"/>
          <w:szCs w:val="24"/>
          <w:lang w:bidi="ar-SA"/>
        </w:rPr>
        <w:t>. New York: Springer.</w:t>
      </w:r>
    </w:p>
    <w:p w:rsidR="007F0C9E" w:rsidRPr="00786463" w:rsidRDefault="007F0C9E" w:rsidP="007F0C9E">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ILO (2002) </w:t>
      </w:r>
      <w:r w:rsidRPr="00786463">
        <w:rPr>
          <w:rFonts w:ascii="Times New Roman" w:eastAsia="Calibri" w:hAnsi="Times New Roman"/>
          <w:iCs/>
          <w:sz w:val="24"/>
          <w:szCs w:val="24"/>
          <w:lang w:bidi="ar-SA"/>
        </w:rPr>
        <w:t xml:space="preserve">Disability and Poverty Reduction Strategies: How to </w:t>
      </w:r>
      <w:proofErr w:type="gramStart"/>
      <w:r w:rsidRPr="00786463">
        <w:rPr>
          <w:rFonts w:ascii="Times New Roman" w:eastAsia="Calibri" w:hAnsi="Times New Roman"/>
          <w:iCs/>
          <w:sz w:val="24"/>
          <w:szCs w:val="24"/>
          <w:lang w:bidi="ar-SA"/>
        </w:rPr>
        <w:t>Ensure</w:t>
      </w:r>
      <w:proofErr w:type="gramEnd"/>
      <w:r w:rsidRPr="00786463">
        <w:rPr>
          <w:rFonts w:ascii="Times New Roman" w:eastAsia="Calibri" w:hAnsi="Times New Roman"/>
          <w:iCs/>
          <w:sz w:val="24"/>
          <w:szCs w:val="24"/>
          <w:lang w:bidi="ar-SA"/>
        </w:rPr>
        <w:t xml:space="preserve"> that Access of Persons with</w:t>
      </w:r>
      <w:r w:rsidRPr="00786463">
        <w:rPr>
          <w:rFonts w:ascii="Times New Roman" w:eastAsia="Calibri" w:hAnsi="Times New Roman"/>
          <w:sz w:val="24"/>
          <w:szCs w:val="24"/>
          <w:lang w:bidi="ar-SA"/>
        </w:rPr>
        <w:t xml:space="preserve"> </w:t>
      </w:r>
      <w:r w:rsidRPr="00786463">
        <w:rPr>
          <w:rFonts w:ascii="Times New Roman" w:eastAsia="Calibri" w:hAnsi="Times New Roman"/>
          <w:iCs/>
          <w:sz w:val="24"/>
          <w:szCs w:val="24"/>
          <w:lang w:bidi="ar-SA"/>
        </w:rPr>
        <w:t xml:space="preserve">Disabilities to Decent and Productive Work is Part of the PRSP Process. </w:t>
      </w:r>
      <w:r w:rsidRPr="00786463">
        <w:rPr>
          <w:rFonts w:ascii="Times New Roman" w:eastAsia="Calibri" w:hAnsi="Times New Roman"/>
          <w:sz w:val="24"/>
          <w:szCs w:val="24"/>
          <w:lang w:bidi="ar-SA"/>
        </w:rPr>
        <w:t>ILO.</w:t>
      </w:r>
    </w:p>
    <w:p w:rsidR="007F0C9E" w:rsidRPr="00786463" w:rsidRDefault="007F0C9E" w:rsidP="007F0C9E">
      <w:pPr>
        <w:numPr>
          <w:ilvl w:val="0"/>
          <w:numId w:val="2"/>
        </w:numPr>
        <w:spacing w:line="240" w:lineRule="auto"/>
        <w:ind w:right="-22"/>
        <w:contextualSpacing/>
        <w:jc w:val="both"/>
        <w:rPr>
          <w:rFonts w:ascii="Times New Roman" w:eastAsia="Calibri" w:hAnsi="Times New Roman"/>
          <w:sz w:val="24"/>
          <w:szCs w:val="24"/>
          <w:lang w:bidi="ar-SA"/>
        </w:rPr>
      </w:pPr>
      <w:r w:rsidRPr="00786463">
        <w:rPr>
          <w:rFonts w:ascii="Times New Roman" w:eastAsia="Calibri" w:hAnsi="Times New Roman"/>
          <w:sz w:val="24"/>
          <w:szCs w:val="24"/>
          <w:lang w:bidi="ar-SA"/>
        </w:rPr>
        <w:t xml:space="preserve">Marks D (2001) </w:t>
      </w:r>
      <w:r w:rsidRPr="00786463">
        <w:rPr>
          <w:rFonts w:ascii="Times New Roman" w:eastAsia="Calibri" w:hAnsi="Times New Roman"/>
          <w:iCs/>
          <w:sz w:val="24"/>
          <w:szCs w:val="24"/>
          <w:lang w:bidi="ar-SA"/>
        </w:rPr>
        <w:t>Disability: Controversial debates and psychosocial perspectives</w:t>
      </w:r>
      <w:r w:rsidRPr="00786463">
        <w:rPr>
          <w:rFonts w:ascii="Times New Roman" w:eastAsia="Calibri" w:hAnsi="Times New Roman"/>
          <w:sz w:val="24"/>
          <w:szCs w:val="24"/>
          <w:lang w:bidi="ar-SA"/>
        </w:rPr>
        <w:t xml:space="preserve">. UK: </w:t>
      </w:r>
      <w:proofErr w:type="spellStart"/>
      <w:r w:rsidRPr="00786463">
        <w:rPr>
          <w:rFonts w:ascii="Times New Roman" w:eastAsia="Calibri" w:hAnsi="Times New Roman"/>
          <w:sz w:val="24"/>
          <w:szCs w:val="24"/>
          <w:lang w:bidi="ar-SA"/>
        </w:rPr>
        <w:t>Routledge</w:t>
      </w:r>
      <w:proofErr w:type="spellEnd"/>
      <w:r w:rsidRPr="00786463">
        <w:rPr>
          <w:rFonts w:ascii="Times New Roman" w:eastAsia="Calibri" w:hAnsi="Times New Roman"/>
          <w:sz w:val="24"/>
          <w:szCs w:val="24"/>
          <w:lang w:bidi="ar-SA"/>
        </w:rPr>
        <w:t>.</w:t>
      </w:r>
    </w:p>
    <w:p w:rsidR="00AC7C19" w:rsidRPr="00786463" w:rsidRDefault="00AC7C19" w:rsidP="007F0C9E">
      <w:pPr>
        <w:spacing w:line="240" w:lineRule="auto"/>
        <w:ind w:left="720"/>
        <w:contextualSpacing/>
        <w:jc w:val="both"/>
        <w:rPr>
          <w:rFonts w:ascii="Times New Roman" w:eastAsia="Calibri" w:hAnsi="Times New Roman"/>
          <w:sz w:val="24"/>
          <w:szCs w:val="24"/>
          <w:lang w:bidi="ar-SA"/>
        </w:rPr>
      </w:pPr>
    </w:p>
    <w:p w:rsidR="00887B4E" w:rsidRPr="00887B4E" w:rsidRDefault="00887B4E" w:rsidP="00887B4E">
      <w:pPr>
        <w:pStyle w:val="ListParagraph"/>
        <w:rPr>
          <w:b/>
        </w:rPr>
      </w:pPr>
    </w:p>
    <w:sectPr w:rsidR="00887B4E" w:rsidRPr="0088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C34"/>
    <w:multiLevelType w:val="hybridMultilevel"/>
    <w:tmpl w:val="E8B4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951CA"/>
    <w:multiLevelType w:val="hybridMultilevel"/>
    <w:tmpl w:val="1BF4B248"/>
    <w:lvl w:ilvl="0" w:tplc="0BB0A714">
      <w:start w:val="1"/>
      <w:numFmt w:val="decimal"/>
      <w:lvlText w:val="%1."/>
      <w:lvlJc w:val="left"/>
      <w:pPr>
        <w:ind w:left="720" w:hanging="360"/>
      </w:pPr>
      <w:rPr>
        <w:rFonts w:hint="default"/>
        <w:b w:val="0"/>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514715D"/>
    <w:multiLevelType w:val="hybridMultilevel"/>
    <w:tmpl w:val="A1D26CA4"/>
    <w:lvl w:ilvl="0" w:tplc="3F122196">
      <w:start w:val="1"/>
      <w:numFmt w:val="decimal"/>
      <w:lvlText w:val="(%1)"/>
      <w:lvlJc w:val="left"/>
      <w:pPr>
        <w:ind w:left="720" w:hanging="360"/>
      </w:pPr>
      <w:rPr>
        <w:b w:val="0"/>
      </w:rPr>
    </w:lvl>
    <w:lvl w:ilvl="1" w:tplc="3F122196">
      <w:start w:val="1"/>
      <w:numFmt w:val="decimal"/>
      <w:lvlText w:val="(%2)"/>
      <w:lvlJc w:val="left"/>
      <w:pPr>
        <w:ind w:left="36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45"/>
    <w:rsid w:val="00002925"/>
    <w:rsid w:val="00064690"/>
    <w:rsid w:val="001664A1"/>
    <w:rsid w:val="00190C5D"/>
    <w:rsid w:val="001D15D9"/>
    <w:rsid w:val="00205874"/>
    <w:rsid w:val="00270E84"/>
    <w:rsid w:val="002B0655"/>
    <w:rsid w:val="002B3A63"/>
    <w:rsid w:val="002E0B29"/>
    <w:rsid w:val="003050AA"/>
    <w:rsid w:val="00310320"/>
    <w:rsid w:val="003D3C5A"/>
    <w:rsid w:val="0040421B"/>
    <w:rsid w:val="00537FB9"/>
    <w:rsid w:val="006F3EF9"/>
    <w:rsid w:val="007920C2"/>
    <w:rsid w:val="00795B8B"/>
    <w:rsid w:val="007F0C9E"/>
    <w:rsid w:val="00845737"/>
    <w:rsid w:val="00870586"/>
    <w:rsid w:val="00887B4E"/>
    <w:rsid w:val="008D7C93"/>
    <w:rsid w:val="008E0B6D"/>
    <w:rsid w:val="00942CB2"/>
    <w:rsid w:val="00A134F9"/>
    <w:rsid w:val="00A33EED"/>
    <w:rsid w:val="00AC7C19"/>
    <w:rsid w:val="00AE4E98"/>
    <w:rsid w:val="00B6366D"/>
    <w:rsid w:val="00B82B7D"/>
    <w:rsid w:val="00BB7FA7"/>
    <w:rsid w:val="00BD33C6"/>
    <w:rsid w:val="00C1201C"/>
    <w:rsid w:val="00C47E45"/>
    <w:rsid w:val="00C56611"/>
    <w:rsid w:val="00C96DC3"/>
    <w:rsid w:val="00CF70B6"/>
    <w:rsid w:val="00D166DD"/>
    <w:rsid w:val="00D90C3F"/>
    <w:rsid w:val="00DE656E"/>
    <w:rsid w:val="00DF7EEB"/>
    <w:rsid w:val="00E34730"/>
    <w:rsid w:val="00E5098E"/>
    <w:rsid w:val="00EA2246"/>
    <w:rsid w:val="00EB0458"/>
    <w:rsid w:val="00EB75A1"/>
    <w:rsid w:val="00EC3F6D"/>
    <w:rsid w:val="00F25784"/>
    <w:rsid w:val="00F666F7"/>
    <w:rsid w:val="00FA3EF6"/>
    <w:rsid w:val="00FB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45"/>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C47E45"/>
    <w:rPr>
      <w:rFonts w:ascii="Cambria" w:hAnsi="Cambria"/>
      <w:lang w:bidi="en-US"/>
    </w:rPr>
  </w:style>
  <w:style w:type="paragraph" w:styleId="NoSpacing">
    <w:name w:val="No Spacing"/>
    <w:basedOn w:val="Normal"/>
    <w:link w:val="NoSpacingChar"/>
    <w:qFormat/>
    <w:rsid w:val="00C47E45"/>
    <w:pPr>
      <w:spacing w:after="0" w:line="240" w:lineRule="auto"/>
    </w:pPr>
    <w:rPr>
      <w:rFonts w:eastAsiaTheme="minorHAnsi" w:cstheme="minorBidi"/>
    </w:rPr>
  </w:style>
  <w:style w:type="paragraph" w:customStyle="1" w:styleId="Bezodstpw1">
    <w:name w:val="Bez odstępów1"/>
    <w:basedOn w:val="Normal"/>
    <w:rsid w:val="00C47E45"/>
    <w:pPr>
      <w:spacing w:after="0" w:line="240" w:lineRule="auto"/>
    </w:pPr>
    <w:rPr>
      <w:rFonts w:eastAsia="Calibri"/>
    </w:rPr>
  </w:style>
  <w:style w:type="paragraph" w:styleId="ListParagraph">
    <w:name w:val="List Paragraph"/>
    <w:basedOn w:val="Normal"/>
    <w:uiPriority w:val="34"/>
    <w:qFormat/>
    <w:rsid w:val="00887B4E"/>
    <w:pPr>
      <w:ind w:left="720"/>
      <w:contextualSpacing/>
    </w:pPr>
  </w:style>
  <w:style w:type="character" w:styleId="Hyperlink">
    <w:name w:val="Hyperlink"/>
    <w:basedOn w:val="DefaultParagraphFont"/>
    <w:uiPriority w:val="99"/>
    <w:unhideWhenUsed/>
    <w:rsid w:val="00E5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45"/>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C47E45"/>
    <w:rPr>
      <w:rFonts w:ascii="Cambria" w:hAnsi="Cambria"/>
      <w:lang w:bidi="en-US"/>
    </w:rPr>
  </w:style>
  <w:style w:type="paragraph" w:styleId="NoSpacing">
    <w:name w:val="No Spacing"/>
    <w:basedOn w:val="Normal"/>
    <w:link w:val="NoSpacingChar"/>
    <w:qFormat/>
    <w:rsid w:val="00C47E45"/>
    <w:pPr>
      <w:spacing w:after="0" w:line="240" w:lineRule="auto"/>
    </w:pPr>
    <w:rPr>
      <w:rFonts w:eastAsiaTheme="minorHAnsi" w:cstheme="minorBidi"/>
    </w:rPr>
  </w:style>
  <w:style w:type="paragraph" w:customStyle="1" w:styleId="Bezodstpw1">
    <w:name w:val="Bez odstępów1"/>
    <w:basedOn w:val="Normal"/>
    <w:rsid w:val="00C47E45"/>
    <w:pPr>
      <w:spacing w:after="0" w:line="240" w:lineRule="auto"/>
    </w:pPr>
    <w:rPr>
      <w:rFonts w:eastAsia="Calibri"/>
    </w:rPr>
  </w:style>
  <w:style w:type="paragraph" w:styleId="ListParagraph">
    <w:name w:val="List Paragraph"/>
    <w:basedOn w:val="Normal"/>
    <w:uiPriority w:val="34"/>
    <w:qFormat/>
    <w:rsid w:val="00887B4E"/>
    <w:pPr>
      <w:ind w:left="720"/>
      <w:contextualSpacing/>
    </w:pPr>
  </w:style>
  <w:style w:type="character" w:styleId="Hyperlink">
    <w:name w:val="Hyperlink"/>
    <w:basedOn w:val="DefaultParagraphFont"/>
    <w:uiPriority w:val="99"/>
    <w:unhideWhenUsed/>
    <w:rsid w:val="00E50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o.who.int/en/Section13/Section37/Section135.htm" TargetMode="External"/><Relationship Id="rId3" Type="http://schemas.microsoft.com/office/2007/relationships/stylesWithEffects" Target="stylesWithEffects.xml"/><Relationship Id="rId7" Type="http://schemas.openxmlformats.org/officeDocument/2006/relationships/hyperlink" Target="http://www.ossyr.org.ar/pdf/bibliografia/1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hchr.ch/tbs/doc.nsf/%28symbol%29/E.C.12.2000.4.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inetafrica.org/bibl/docs/EWmtg%20repNov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McVeigh</dc:creator>
  <cp:lastModifiedBy>Joanne McVeigh</cp:lastModifiedBy>
  <cp:revision>12</cp:revision>
  <dcterms:created xsi:type="dcterms:W3CDTF">2012-04-29T14:41:00Z</dcterms:created>
  <dcterms:modified xsi:type="dcterms:W3CDTF">2012-04-29T18:56:00Z</dcterms:modified>
</cp:coreProperties>
</file>