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CB" w:rsidRPr="002C75B8" w:rsidRDefault="00D641CB" w:rsidP="00D641CB">
      <w:pPr>
        <w:spacing w:line="480" w:lineRule="auto"/>
        <w:ind w:left="0" w:firstLine="0"/>
        <w:rPr>
          <w:bCs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TURKEY</w:t>
          </w:r>
        </w:smartTag>
      </w:smartTag>
    </w:p>
    <w:p w:rsidR="00D641CB" w:rsidRPr="002C75B8" w:rsidRDefault="00D641CB" w:rsidP="00D641CB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576195" cy="1725295"/>
            <wp:effectExtent l="19050" t="0" r="0" b="0"/>
            <wp:docPr id="1" name="Imagen 1" descr="C:\Users\admin\Documents\Downloads\TR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min\Documents\Downloads\TR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CB" w:rsidRPr="002C75B8" w:rsidRDefault="00D641CB" w:rsidP="00D641CB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7</w:t>
      </w:r>
      <w:r>
        <w:rPr>
          <w:bCs/>
          <w:sz w:val="22"/>
          <w:lang w:val="en-US"/>
        </w:rPr>
        <w:t>2,752,325</w:t>
      </w:r>
      <w:r w:rsidRPr="002C75B8">
        <w:rPr>
          <w:bCs/>
          <w:sz w:val="22"/>
          <w:lang w:val="en-US"/>
        </w:rPr>
        <w:t xml:space="preserve"> 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2</w:t>
      </w:r>
      <w:r>
        <w:rPr>
          <w:bCs/>
          <w:sz w:val="22"/>
          <w:lang w:val="en-US"/>
        </w:rPr>
        <w:t>6</w:t>
      </w:r>
      <w:r w:rsidRPr="002C75B8">
        <w:rPr>
          <w:bCs/>
          <w:sz w:val="22"/>
          <w:lang w:val="en-US"/>
        </w:rPr>
        <w:t>%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Rural population: 3</w:t>
      </w:r>
      <w:r>
        <w:rPr>
          <w:bCs/>
          <w:sz w:val="22"/>
          <w:lang w:val="en-US"/>
        </w:rPr>
        <w:t>0</w:t>
      </w:r>
      <w:r w:rsidRPr="002C75B8">
        <w:rPr>
          <w:bCs/>
          <w:sz w:val="22"/>
          <w:lang w:val="en-US"/>
        </w:rPr>
        <w:t xml:space="preserve">% 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>25 a day: 2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7% 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living under the national poverty line: </w:t>
      </w:r>
      <w:r>
        <w:rPr>
          <w:bCs/>
          <w:sz w:val="22"/>
          <w:lang w:val="en-US"/>
        </w:rPr>
        <w:t>18.1</w:t>
      </w:r>
      <w:r w:rsidRPr="002C75B8">
        <w:rPr>
          <w:bCs/>
          <w:sz w:val="22"/>
          <w:lang w:val="en-US"/>
        </w:rPr>
        <w:t>%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Income status: Upper middle income economy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Ranking: High human development (ranking 9</w:t>
      </w:r>
      <w:r>
        <w:rPr>
          <w:bCs/>
          <w:sz w:val="22"/>
          <w:lang w:val="en-US"/>
        </w:rPr>
        <w:t>2</w:t>
      </w:r>
      <w:r w:rsidRPr="002C75B8">
        <w:rPr>
          <w:bCs/>
          <w:sz w:val="22"/>
          <w:lang w:val="en-US"/>
        </w:rPr>
        <w:t>)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571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Life expectancy at birth (years): 73 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62 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</w:p>
    <w:p w:rsidR="00D641CB" w:rsidRPr="002C75B8" w:rsidRDefault="00D641CB" w:rsidP="00D641CB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D641CB" w:rsidRPr="00B827EE" w:rsidRDefault="00D641CB" w:rsidP="00D641CB">
      <w:pPr>
        <w:shd w:val="clear" w:color="auto" w:fill="FFFFFF"/>
        <w:ind w:left="0" w:firstLine="0"/>
        <w:rPr>
          <w:color w:val="000000"/>
          <w:sz w:val="22"/>
          <w:lang w:val="en-GB"/>
        </w:rPr>
      </w:pPr>
      <w:r w:rsidRPr="00D32E2A">
        <w:rPr>
          <w:sz w:val="22"/>
          <w:lang w:val="en-GB"/>
        </w:rPr>
        <w:t xml:space="preserve">The first case of VL </w:t>
      </w:r>
      <w:r>
        <w:rPr>
          <w:sz w:val="22"/>
          <w:lang w:val="en-GB"/>
        </w:rPr>
        <w:t>in</w:t>
      </w:r>
      <w:r w:rsidRPr="00D32E2A">
        <w:rPr>
          <w:sz w:val="22"/>
          <w:lang w:val="en-GB"/>
        </w:rPr>
        <w:t xml:space="preserve"> </w:t>
      </w:r>
      <w:smartTag w:uri="urn:schemas-microsoft-com:office:smarttags" w:element="country-region">
        <w:r w:rsidRPr="00D32E2A">
          <w:rPr>
            <w:sz w:val="22"/>
            <w:lang w:val="en-GB"/>
          </w:rPr>
          <w:t>Turkey</w:t>
        </w:r>
      </w:smartTag>
      <w:r w:rsidRPr="00D32E2A">
        <w:rPr>
          <w:sz w:val="22"/>
          <w:lang w:val="en-GB"/>
        </w:rPr>
        <w:t xml:space="preserve"> was reported from </w:t>
      </w:r>
      <w:smartTag w:uri="urn:schemas-microsoft-com:office:smarttags" w:element="City">
        <w:r w:rsidRPr="00D32E2A">
          <w:rPr>
            <w:sz w:val="22"/>
            <w:lang w:val="en-GB"/>
          </w:rPr>
          <w:t>Trabzon</w:t>
        </w:r>
      </w:smartTag>
      <w:r w:rsidRPr="00D32E2A">
        <w:rPr>
          <w:sz w:val="22"/>
          <w:lang w:val="en-GB"/>
        </w:rPr>
        <w:t>, in the eastern part of</w:t>
      </w:r>
      <w:r>
        <w:rPr>
          <w:sz w:val="22"/>
          <w:lang w:val="en-GB"/>
        </w:rPr>
        <w:t xml:space="preserve"> the</w:t>
      </w:r>
      <w:r w:rsidRPr="00D32E2A">
        <w:rPr>
          <w:sz w:val="22"/>
          <w:lang w:val="en-GB"/>
        </w:rPr>
        <w:t xml:space="preserve"> Black Sea Region</w:t>
      </w:r>
      <w:r>
        <w:rPr>
          <w:sz w:val="22"/>
          <w:lang w:val="en-GB"/>
        </w:rPr>
        <w:t>,</w:t>
      </w:r>
      <w:r w:rsidRPr="00D32E2A">
        <w:rPr>
          <w:sz w:val="22"/>
          <w:lang w:val="en-GB"/>
        </w:rPr>
        <w:t xml:space="preserve"> in 1916</w:t>
      </w:r>
      <w:r>
        <w:rPr>
          <w:sz w:val="22"/>
          <w:lang w:val="en-GB"/>
        </w:rPr>
        <w:t>;</w:t>
      </w:r>
      <w:r w:rsidRPr="00D32E2A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the second </w:t>
      </w:r>
      <w:r w:rsidRPr="00D32E2A">
        <w:rPr>
          <w:sz w:val="22"/>
          <w:lang w:val="en-GB"/>
        </w:rPr>
        <w:t xml:space="preserve">from </w:t>
      </w:r>
      <w:smartTag w:uri="urn:schemas-microsoft-com:office:smarttags" w:element="City">
        <w:smartTag w:uri="urn:schemas-microsoft-com:office:smarttags" w:element="place">
          <w:r w:rsidRPr="00D32E2A">
            <w:rPr>
              <w:sz w:val="22"/>
              <w:lang w:val="en-GB"/>
            </w:rPr>
            <w:t>Izmir</w:t>
          </w:r>
        </w:smartTag>
      </w:smartTag>
      <w:r w:rsidRPr="00D32E2A">
        <w:rPr>
          <w:sz w:val="22"/>
          <w:lang w:val="en-GB"/>
        </w:rPr>
        <w:t>, in the Aegean Region, in 1918.</w:t>
      </w:r>
      <w:r>
        <w:rPr>
          <w:sz w:val="22"/>
          <w:lang w:val="en-GB"/>
        </w:rPr>
        <w:t xml:space="preserve"> </w:t>
      </w:r>
      <w:r w:rsidRPr="00D32E2A">
        <w:rPr>
          <w:sz w:val="22"/>
          <w:lang w:val="en-GB"/>
        </w:rPr>
        <w:t>VL is endemic, with sporadic cases reported from 38 of 81 provinces (in 2008</w:t>
      </w:r>
      <w:r>
        <w:rPr>
          <w:sz w:val="22"/>
          <w:lang w:val="en-GB"/>
        </w:rPr>
        <w:t>,</w:t>
      </w:r>
      <w:r w:rsidRPr="00D32E2A">
        <w:rPr>
          <w:sz w:val="22"/>
          <w:lang w:val="en-GB"/>
        </w:rPr>
        <w:t xml:space="preserve"> there were less than 10 cases). Most cases occur at the Armenian border, </w:t>
      </w:r>
      <w:r w:rsidRPr="00D32E2A">
        <w:rPr>
          <w:color w:val="000000"/>
          <w:sz w:val="22"/>
          <w:lang w:val="en-GB"/>
        </w:rPr>
        <w:t xml:space="preserve">in the Aegean, </w:t>
      </w:r>
      <w:smartTag w:uri="urn:schemas-microsoft-com:office:smarttags" w:element="place">
        <w:r w:rsidRPr="00D32E2A">
          <w:rPr>
            <w:color w:val="000000"/>
            <w:sz w:val="22"/>
            <w:lang w:val="en-GB"/>
          </w:rPr>
          <w:t>Mediterranean</w:t>
        </w:r>
      </w:smartTag>
      <w:r w:rsidRPr="00D32E2A">
        <w:rPr>
          <w:color w:val="000000"/>
          <w:sz w:val="22"/>
          <w:lang w:val="en-GB"/>
        </w:rPr>
        <w:t xml:space="preserve">, and Central Anatolia Regions </w:t>
      </w:r>
      <w:r>
        <w:rPr>
          <w:color w:val="000000"/>
          <w:sz w:val="22"/>
          <w:lang w:val="en-GB"/>
        </w:rPr>
        <w:t>[1</w:t>
      </w:r>
      <w:proofErr w:type="gramStart"/>
      <w:r>
        <w:rPr>
          <w:color w:val="000000"/>
          <w:sz w:val="22"/>
          <w:lang w:val="en-GB"/>
        </w:rPr>
        <w:t>,2</w:t>
      </w:r>
      <w:proofErr w:type="gramEnd"/>
      <w:r>
        <w:rPr>
          <w:color w:val="000000"/>
          <w:sz w:val="22"/>
          <w:lang w:val="en-GB"/>
        </w:rPr>
        <w:t>]</w:t>
      </w:r>
      <w:r w:rsidRPr="00D32E2A">
        <w:rPr>
          <w:sz w:val="22"/>
          <w:lang w:val="en-GB"/>
        </w:rPr>
        <w:t xml:space="preserve">. Dogs seem to be the main </w:t>
      </w:r>
      <w:r w:rsidRPr="00B827EE">
        <w:rPr>
          <w:color w:val="000000"/>
          <w:sz w:val="22"/>
          <w:lang w:val="en-GB"/>
        </w:rPr>
        <w:t xml:space="preserve">animal reservoir with a high </w:t>
      </w:r>
      <w:proofErr w:type="spellStart"/>
      <w:r w:rsidRPr="00B827EE">
        <w:rPr>
          <w:color w:val="000000"/>
          <w:sz w:val="22"/>
          <w:lang w:val="en-GB"/>
        </w:rPr>
        <w:t>seroprevalence</w:t>
      </w:r>
      <w:proofErr w:type="spellEnd"/>
      <w:r w:rsidRPr="00B827EE">
        <w:rPr>
          <w:color w:val="000000"/>
          <w:sz w:val="22"/>
          <w:lang w:val="en-GB"/>
        </w:rPr>
        <w:t xml:space="preserve"> of over 20% in some of the endemic regions </w:t>
      </w:r>
      <w:r>
        <w:rPr>
          <w:color w:val="000000"/>
          <w:sz w:val="22"/>
          <w:lang w:val="en-GB"/>
        </w:rPr>
        <w:t>[3]</w:t>
      </w:r>
      <w:r w:rsidRPr="00B827EE">
        <w:rPr>
          <w:color w:val="000000"/>
          <w:sz w:val="22"/>
          <w:lang w:val="en-GB"/>
        </w:rPr>
        <w:t xml:space="preserve">. </w:t>
      </w:r>
    </w:p>
    <w:p w:rsidR="00D641CB" w:rsidRPr="00B827EE" w:rsidRDefault="00D641CB" w:rsidP="00D641CB">
      <w:pPr>
        <w:shd w:val="clear" w:color="auto" w:fill="FFFFFF"/>
        <w:ind w:left="0" w:firstLine="0"/>
        <w:rPr>
          <w:color w:val="000000"/>
          <w:sz w:val="22"/>
          <w:lang w:val="en-GB"/>
        </w:rPr>
      </w:pPr>
    </w:p>
    <w:p w:rsidR="00D641CB" w:rsidRDefault="00D641CB" w:rsidP="00D641CB">
      <w:pPr>
        <w:shd w:val="clear" w:color="auto" w:fill="FFFFFF"/>
        <w:ind w:left="0" w:firstLine="0"/>
        <w:rPr>
          <w:sz w:val="22"/>
          <w:lang w:val="en-GB"/>
        </w:rPr>
      </w:pPr>
      <w:r w:rsidRPr="00B827EE">
        <w:rPr>
          <w:color w:val="000000"/>
          <w:sz w:val="22"/>
          <w:lang w:val="en-GB"/>
        </w:rPr>
        <w:t xml:space="preserve">CL is caused by </w:t>
      </w:r>
      <w:r w:rsidRPr="00B827EE">
        <w:rPr>
          <w:i/>
          <w:iCs/>
          <w:color w:val="000000"/>
          <w:sz w:val="22"/>
          <w:lang w:val="en-GB"/>
        </w:rPr>
        <w:t>L. tropica</w:t>
      </w:r>
      <w:r w:rsidRPr="00B827EE">
        <w:rPr>
          <w:color w:val="000000"/>
          <w:sz w:val="22"/>
          <w:lang w:val="en-GB"/>
        </w:rPr>
        <w:t xml:space="preserve"> and is more prevalent in </w:t>
      </w:r>
      <w:proofErr w:type="spellStart"/>
      <w:r w:rsidRPr="00B827EE">
        <w:rPr>
          <w:color w:val="000000"/>
          <w:sz w:val="22"/>
          <w:lang w:val="en-GB"/>
        </w:rPr>
        <w:t>southeastern</w:t>
      </w:r>
      <w:proofErr w:type="spellEnd"/>
      <w:r w:rsidRPr="00B827EE">
        <w:rPr>
          <w:color w:val="000000"/>
          <w:sz w:val="22"/>
          <w:lang w:val="en-GB"/>
        </w:rPr>
        <w:t xml:space="preserve"> Anatolia </w:t>
      </w:r>
      <w:r>
        <w:rPr>
          <w:color w:val="000000"/>
          <w:sz w:val="22"/>
          <w:lang w:val="en-GB"/>
        </w:rPr>
        <w:t xml:space="preserve">[4], </w:t>
      </w:r>
      <w:r w:rsidRPr="00B827EE">
        <w:rPr>
          <w:color w:val="000000"/>
          <w:sz w:val="22"/>
          <w:lang w:val="en-GB"/>
        </w:rPr>
        <w:t xml:space="preserve">where 96% of cases </w:t>
      </w:r>
      <w:r>
        <w:rPr>
          <w:color w:val="000000"/>
          <w:sz w:val="22"/>
          <w:lang w:val="en-GB"/>
        </w:rPr>
        <w:t>are</w:t>
      </w:r>
      <w:r w:rsidRPr="00B827EE">
        <w:rPr>
          <w:color w:val="000000"/>
          <w:sz w:val="22"/>
          <w:lang w:val="en-GB"/>
        </w:rPr>
        <w:t xml:space="preserve"> located, central Anatolia</w:t>
      </w:r>
      <w:r>
        <w:rPr>
          <w:color w:val="000000"/>
          <w:sz w:val="22"/>
          <w:lang w:val="en-GB"/>
        </w:rPr>
        <w:t>,</w:t>
      </w:r>
      <w:r w:rsidRPr="00B827EE">
        <w:rPr>
          <w:color w:val="000000"/>
          <w:sz w:val="22"/>
          <w:lang w:val="en-GB"/>
        </w:rPr>
        <w:t xml:space="preserve"> </w:t>
      </w:r>
      <w:r>
        <w:rPr>
          <w:color w:val="000000"/>
          <w:sz w:val="22"/>
          <w:lang w:val="en-GB"/>
        </w:rPr>
        <w:t xml:space="preserve">the </w:t>
      </w:r>
      <w:r w:rsidRPr="00B827EE">
        <w:rPr>
          <w:color w:val="000000"/>
          <w:sz w:val="22"/>
          <w:lang w:val="en-GB"/>
        </w:rPr>
        <w:t>western regions, and</w:t>
      </w:r>
      <w:r>
        <w:rPr>
          <w:color w:val="000000"/>
          <w:sz w:val="22"/>
          <w:lang w:val="en-GB"/>
        </w:rPr>
        <w:t>,</w:t>
      </w:r>
      <w:r w:rsidRPr="00B827EE">
        <w:rPr>
          <w:color w:val="000000"/>
          <w:sz w:val="22"/>
          <w:lang w:val="en-GB"/>
        </w:rPr>
        <w:t xml:space="preserve"> less frequently</w:t>
      </w:r>
      <w:r>
        <w:rPr>
          <w:color w:val="000000"/>
          <w:sz w:val="22"/>
          <w:lang w:val="en-GB"/>
        </w:rPr>
        <w:t>,</w:t>
      </w:r>
      <w:r w:rsidRPr="00B827EE">
        <w:rPr>
          <w:color w:val="000000"/>
          <w:sz w:val="22"/>
          <w:lang w:val="en-GB"/>
        </w:rPr>
        <w:t xml:space="preserve"> in the </w:t>
      </w:r>
      <w:smartTag w:uri="urn:schemas-microsoft-com:office:smarttags" w:element="place">
        <w:r w:rsidRPr="00B827EE">
          <w:rPr>
            <w:color w:val="000000"/>
            <w:sz w:val="22"/>
            <w:lang w:val="en-GB"/>
          </w:rPr>
          <w:t>Mediterranean</w:t>
        </w:r>
      </w:smartTag>
      <w:r w:rsidRPr="00B827EE">
        <w:rPr>
          <w:color w:val="000000"/>
          <w:sz w:val="22"/>
          <w:lang w:val="en-GB"/>
        </w:rPr>
        <w:t xml:space="preserve"> and Aegean Regions </w:t>
      </w:r>
      <w:r>
        <w:rPr>
          <w:color w:val="000000"/>
          <w:sz w:val="22"/>
          <w:lang w:val="en-GB"/>
        </w:rPr>
        <w:t>[1</w:t>
      </w:r>
      <w:proofErr w:type="gramStart"/>
      <w:r>
        <w:rPr>
          <w:color w:val="000000"/>
          <w:sz w:val="22"/>
          <w:lang w:val="en-GB"/>
        </w:rPr>
        <w:t>,5,6</w:t>
      </w:r>
      <w:proofErr w:type="gramEnd"/>
      <w:r>
        <w:rPr>
          <w:color w:val="000000"/>
          <w:sz w:val="22"/>
          <w:lang w:val="en-GB"/>
        </w:rPr>
        <w:t>]</w:t>
      </w:r>
      <w:r w:rsidRPr="00B827EE">
        <w:rPr>
          <w:color w:val="000000"/>
          <w:sz w:val="22"/>
          <w:lang w:val="en-GB"/>
        </w:rPr>
        <w:t xml:space="preserve">. In </w:t>
      </w:r>
      <w:proofErr w:type="spellStart"/>
      <w:r w:rsidRPr="00B827EE">
        <w:rPr>
          <w:rFonts w:eastAsia="SimSun"/>
          <w:color w:val="000000"/>
          <w:sz w:val="22"/>
          <w:lang w:val="en-GB" w:eastAsia="zh-CN"/>
        </w:rPr>
        <w:t>Sanliurfa</w:t>
      </w:r>
      <w:proofErr w:type="spellEnd"/>
      <w:r w:rsidRPr="00B827EE">
        <w:rPr>
          <w:rFonts w:eastAsia="SimSun"/>
          <w:color w:val="000000"/>
          <w:sz w:val="22"/>
          <w:lang w:val="en-GB" w:eastAsia="zh-CN"/>
        </w:rPr>
        <w:t>,</w:t>
      </w:r>
      <w:r w:rsidRPr="00B827EE">
        <w:rPr>
          <w:color w:val="000000"/>
          <w:sz w:val="22"/>
          <w:lang w:val="en-GB"/>
        </w:rPr>
        <w:t xml:space="preserve"> </w:t>
      </w:r>
      <w:proofErr w:type="spellStart"/>
      <w:r w:rsidRPr="00B827EE">
        <w:rPr>
          <w:color w:val="000000"/>
          <w:sz w:val="22"/>
          <w:lang w:val="en-GB"/>
        </w:rPr>
        <w:t>southeastern</w:t>
      </w:r>
      <w:proofErr w:type="spellEnd"/>
      <w:r w:rsidRPr="00B827EE">
        <w:rPr>
          <w:color w:val="000000"/>
          <w:sz w:val="22"/>
          <w:lang w:val="en-GB"/>
        </w:rPr>
        <w:t xml:space="preserve"> </w:t>
      </w:r>
      <w:smartTag w:uri="urn:schemas-microsoft-com:office:smarttags" w:element="place">
        <w:r w:rsidRPr="00B827EE">
          <w:rPr>
            <w:color w:val="000000"/>
            <w:sz w:val="22"/>
            <w:lang w:val="en-GB"/>
          </w:rPr>
          <w:t>Anatolia</w:t>
        </w:r>
      </w:smartTag>
      <w:r w:rsidRPr="00B827EE">
        <w:rPr>
          <w:color w:val="000000"/>
          <w:sz w:val="22"/>
          <w:lang w:val="en-GB"/>
        </w:rPr>
        <w:t>, t</w:t>
      </w:r>
      <w:r w:rsidRPr="00B827EE">
        <w:rPr>
          <w:rFonts w:eastAsia="SimSun"/>
          <w:color w:val="000000"/>
          <w:sz w:val="22"/>
          <w:lang w:val="en-GB" w:eastAsia="zh-CN"/>
        </w:rPr>
        <w:t xml:space="preserve">he number of CL cases reported from 1981 to 2000 was 22,335. The reported incidence reached a peak in 1994, with 4,185 cases. There </w:t>
      </w:r>
      <w:r>
        <w:rPr>
          <w:rFonts w:eastAsia="SimSun"/>
          <w:color w:val="000000"/>
          <w:sz w:val="22"/>
          <w:lang w:val="en-GB" w:eastAsia="zh-CN"/>
        </w:rPr>
        <w:t>has been</w:t>
      </w:r>
      <w:r w:rsidRPr="00B827EE">
        <w:rPr>
          <w:rFonts w:eastAsia="SimSun"/>
          <w:color w:val="000000"/>
          <w:sz w:val="22"/>
          <w:lang w:val="en-GB" w:eastAsia="zh-CN"/>
        </w:rPr>
        <w:t xml:space="preserve"> a considerable reduction in the number of reported cases from 1995 onwards </w:t>
      </w:r>
      <w:r>
        <w:rPr>
          <w:rFonts w:eastAsia="SimSun"/>
          <w:color w:val="000000"/>
          <w:sz w:val="22"/>
          <w:lang w:val="en-GB" w:eastAsia="zh-CN"/>
        </w:rPr>
        <w:t>[7]</w:t>
      </w:r>
      <w:r w:rsidRPr="00B827EE">
        <w:rPr>
          <w:color w:val="000000"/>
          <w:sz w:val="22"/>
          <w:lang w:val="en-GB"/>
        </w:rPr>
        <w:t xml:space="preserve">. A recent upsurge of CL cases in the </w:t>
      </w:r>
      <w:proofErr w:type="spellStart"/>
      <w:r w:rsidRPr="00B827EE">
        <w:rPr>
          <w:color w:val="000000"/>
          <w:sz w:val="22"/>
          <w:lang w:val="en-GB"/>
        </w:rPr>
        <w:t>southeastern</w:t>
      </w:r>
      <w:proofErr w:type="spellEnd"/>
      <w:r w:rsidRPr="00B827EE">
        <w:rPr>
          <w:color w:val="000000"/>
          <w:sz w:val="22"/>
          <w:lang w:val="en-GB"/>
        </w:rPr>
        <w:t xml:space="preserve"> Anatolia Region is attributed to the environmental impact of a big i</w:t>
      </w:r>
      <w:r w:rsidRPr="00D32E2A">
        <w:rPr>
          <w:sz w:val="22"/>
          <w:lang w:val="en-GB"/>
        </w:rPr>
        <w:t>rrigation project</w:t>
      </w:r>
      <w:r w:rsidRPr="00D32E2A">
        <w:rPr>
          <w:rFonts w:eastAsia="SimSun"/>
          <w:sz w:val="22"/>
          <w:lang w:val="en-GB" w:eastAsia="zh-CN"/>
        </w:rPr>
        <w:t xml:space="preserve"> (</w:t>
      </w:r>
      <w:proofErr w:type="spellStart"/>
      <w:r w:rsidRPr="00D32E2A">
        <w:rPr>
          <w:rFonts w:eastAsia="SimSun"/>
          <w:sz w:val="22"/>
          <w:lang w:val="en-GB" w:eastAsia="zh-CN"/>
        </w:rPr>
        <w:t>Güneydoğu</w:t>
      </w:r>
      <w:proofErr w:type="spellEnd"/>
      <w:r w:rsidRPr="00D32E2A">
        <w:rPr>
          <w:rFonts w:eastAsia="SimSun"/>
          <w:sz w:val="22"/>
          <w:lang w:val="en-GB" w:eastAsia="zh-CN"/>
        </w:rPr>
        <w:t xml:space="preserve"> </w:t>
      </w:r>
      <w:proofErr w:type="spellStart"/>
      <w:r w:rsidRPr="00D32E2A">
        <w:rPr>
          <w:rFonts w:eastAsia="SimSun"/>
          <w:sz w:val="22"/>
          <w:lang w:val="en-GB" w:eastAsia="zh-CN"/>
        </w:rPr>
        <w:t>Anadolu</w:t>
      </w:r>
      <w:proofErr w:type="spellEnd"/>
      <w:r w:rsidRPr="00D32E2A">
        <w:rPr>
          <w:rFonts w:eastAsia="SimSun"/>
          <w:sz w:val="22"/>
          <w:lang w:val="en-GB" w:eastAsia="zh-CN"/>
        </w:rPr>
        <w:t xml:space="preserve"> </w:t>
      </w:r>
      <w:proofErr w:type="spellStart"/>
      <w:r w:rsidRPr="00D32E2A">
        <w:rPr>
          <w:rFonts w:eastAsia="SimSun"/>
          <w:sz w:val="22"/>
          <w:lang w:val="en-GB" w:eastAsia="zh-CN"/>
        </w:rPr>
        <w:t>Projesi</w:t>
      </w:r>
      <w:proofErr w:type="spellEnd"/>
      <w:r w:rsidRPr="00D32E2A">
        <w:rPr>
          <w:rFonts w:eastAsia="SimSun"/>
          <w:sz w:val="22"/>
          <w:lang w:val="en-GB" w:eastAsia="zh-CN"/>
        </w:rPr>
        <w:t>-</w:t>
      </w:r>
      <w:smartTag w:uri="urn:schemas-microsoft-com:office:smarttags" w:element="PersonName">
        <w:r w:rsidRPr="00D32E2A">
          <w:rPr>
            <w:rFonts w:eastAsia="SimSun"/>
            <w:sz w:val="22"/>
            <w:lang w:val="en-GB" w:eastAsia="zh-CN"/>
          </w:rPr>
          <w:t>GAP</w:t>
        </w:r>
      </w:smartTag>
      <w:r w:rsidRPr="00D32E2A">
        <w:rPr>
          <w:rFonts w:eastAsia="SimSun"/>
          <w:sz w:val="22"/>
          <w:lang w:val="en-GB" w:eastAsia="zh-CN"/>
        </w:rPr>
        <w:t>)</w:t>
      </w:r>
      <w:r w:rsidRPr="00D32E2A">
        <w:rPr>
          <w:sz w:val="22"/>
          <w:lang w:val="en-GB"/>
        </w:rPr>
        <w:t xml:space="preserve"> </w:t>
      </w:r>
      <w:r>
        <w:rPr>
          <w:sz w:val="22"/>
          <w:lang w:val="en-GB"/>
        </w:rPr>
        <w:t>[8]</w:t>
      </w:r>
      <w:r w:rsidRPr="00D32E2A">
        <w:rPr>
          <w:rFonts w:eastAsia="SimSun"/>
          <w:sz w:val="22"/>
          <w:lang w:val="en-GB" w:eastAsia="zh-CN"/>
        </w:rPr>
        <w:t>.</w:t>
      </w:r>
      <w:r>
        <w:rPr>
          <w:rFonts w:eastAsia="SimSun"/>
          <w:sz w:val="22"/>
          <w:lang w:val="en-GB" w:eastAsia="zh-CN"/>
        </w:rPr>
        <w:t xml:space="preserve"> </w:t>
      </w:r>
      <w:r>
        <w:rPr>
          <w:sz w:val="22"/>
          <w:lang w:val="en-GB"/>
        </w:rPr>
        <w:t xml:space="preserve">Some CL cases are attributed to </w:t>
      </w:r>
      <w:r w:rsidRPr="002C75B8">
        <w:rPr>
          <w:i/>
          <w:iCs/>
          <w:sz w:val="22"/>
          <w:lang w:val="en-GB"/>
        </w:rPr>
        <w:t>L. infantum</w:t>
      </w:r>
      <w:r w:rsidRPr="002C75B8">
        <w:rPr>
          <w:sz w:val="22"/>
          <w:lang w:val="en-GB"/>
        </w:rPr>
        <w:t xml:space="preserve"> in the eastern Mediterranean region.</w:t>
      </w:r>
    </w:p>
    <w:p w:rsidR="00D641CB" w:rsidRPr="002C75B8" w:rsidRDefault="00D641CB" w:rsidP="00D641CB">
      <w:pPr>
        <w:ind w:left="0" w:firstLine="0"/>
        <w:rPr>
          <w:sz w:val="22"/>
          <w:lang w:val="en-US"/>
        </w:rPr>
      </w:pPr>
    </w:p>
    <w:p w:rsidR="00D641CB" w:rsidRDefault="00D641CB" w:rsidP="00D641CB">
      <w:pPr>
        <w:tabs>
          <w:tab w:val="left" w:pos="7410"/>
        </w:tabs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VL and CL are both suspected to be underreported, due to a lack of awareness of the disease among physicians. </w:t>
      </w:r>
    </w:p>
    <w:p w:rsidR="00D641CB" w:rsidRPr="002C75B8" w:rsidRDefault="00D641CB" w:rsidP="00D641CB">
      <w:pPr>
        <w:tabs>
          <w:tab w:val="left" w:pos="7410"/>
        </w:tabs>
        <w:ind w:left="0" w:firstLine="0"/>
        <w:rPr>
          <w:sz w:val="22"/>
          <w:lang w:val="en-US"/>
        </w:rPr>
      </w:pPr>
    </w:p>
    <w:p w:rsidR="00D641CB" w:rsidRDefault="00D641CB" w:rsidP="00D641CB">
      <w:pPr>
        <w:tabs>
          <w:tab w:val="left" w:pos="7410"/>
        </w:tabs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No HIV/</w:t>
      </w:r>
      <w:r w:rsidRPr="002C75B8">
        <w:rPr>
          <w:i/>
          <w:iCs/>
          <w:sz w:val="22"/>
          <w:lang w:val="en-GB"/>
        </w:rPr>
        <w:t>Leishmania</w:t>
      </w:r>
      <w:r w:rsidRPr="002C75B8">
        <w:rPr>
          <w:sz w:val="22"/>
          <w:lang w:val="en-GB"/>
        </w:rPr>
        <w:t xml:space="preserve"> co</w:t>
      </w:r>
      <w:r>
        <w:rPr>
          <w:sz w:val="22"/>
          <w:lang w:val="en-GB"/>
        </w:rPr>
        <w:t>-</w:t>
      </w:r>
      <w:r w:rsidRPr="002C75B8">
        <w:rPr>
          <w:sz w:val="22"/>
          <w:lang w:val="en-GB"/>
        </w:rPr>
        <w:t xml:space="preserve">infection has yet been reported. </w:t>
      </w:r>
    </w:p>
    <w:p w:rsidR="00D641CB" w:rsidRPr="002C75B8" w:rsidRDefault="00D641CB" w:rsidP="00D641CB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lastRenderedPageBreak/>
        <w:t>PARASITOLOGICAL INFORMATION</w:t>
      </w:r>
    </w:p>
    <w:p w:rsidR="00D641CB" w:rsidRPr="002C75B8" w:rsidRDefault="00D641CB" w:rsidP="00D641CB">
      <w:pPr>
        <w:ind w:left="0" w:firstLine="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58"/>
        <w:gridCol w:w="2863"/>
        <w:gridCol w:w="2311"/>
      </w:tblGrid>
      <w:tr w:rsidR="00D641CB" w:rsidRPr="002C75B8" w:rsidTr="00A7768B">
        <w:trPr>
          <w:jc w:val="center"/>
        </w:trPr>
        <w:tc>
          <w:tcPr>
            <w:tcW w:w="2310" w:type="dxa"/>
            <w:vAlign w:val="center"/>
          </w:tcPr>
          <w:p w:rsidR="00D641CB" w:rsidRPr="002C75B8" w:rsidRDefault="00D641CB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758" w:type="dxa"/>
            <w:vAlign w:val="center"/>
          </w:tcPr>
          <w:p w:rsidR="00D641CB" w:rsidRPr="002C75B8" w:rsidRDefault="00D641CB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863" w:type="dxa"/>
            <w:vAlign w:val="center"/>
          </w:tcPr>
          <w:p w:rsidR="00D641CB" w:rsidRPr="002C75B8" w:rsidRDefault="00D641CB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1" w:type="dxa"/>
            <w:vAlign w:val="center"/>
          </w:tcPr>
          <w:p w:rsidR="00D641CB" w:rsidRPr="002C75B8" w:rsidRDefault="00D641CB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D641CB" w:rsidRPr="002C75B8" w:rsidTr="00A7768B">
        <w:trPr>
          <w:jc w:val="center"/>
        </w:trPr>
        <w:tc>
          <w:tcPr>
            <w:tcW w:w="2310" w:type="dxa"/>
            <w:vAlign w:val="center"/>
          </w:tcPr>
          <w:p w:rsidR="00D641CB" w:rsidRPr="002C75B8" w:rsidRDefault="00D641CB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 infantum</w:t>
            </w:r>
          </w:p>
        </w:tc>
        <w:tc>
          <w:tcPr>
            <w:tcW w:w="1758" w:type="dxa"/>
            <w:vAlign w:val="center"/>
          </w:tcPr>
          <w:p w:rsidR="00D641CB" w:rsidRPr="002C75B8" w:rsidRDefault="00D641CB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2863" w:type="dxa"/>
            <w:vAlign w:val="center"/>
          </w:tcPr>
          <w:p w:rsidR="00D641CB" w:rsidRPr="002C75B8" w:rsidRDefault="00D641CB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neglectus</w:t>
            </w:r>
            <w:proofErr w:type="spellEnd"/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, </w:t>
            </w: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syriacus</w:t>
            </w:r>
            <w:proofErr w:type="spellEnd"/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, </w:t>
            </w: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tobbi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alexandri</w:t>
            </w:r>
            <w:proofErr w:type="spellEnd"/>
          </w:p>
        </w:tc>
        <w:tc>
          <w:tcPr>
            <w:tcW w:w="2311" w:type="dxa"/>
            <w:vAlign w:val="center"/>
          </w:tcPr>
          <w:p w:rsidR="00D641CB" w:rsidRPr="00360B68" w:rsidRDefault="00D641CB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60B6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360B6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360B6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  <w:tr w:rsidR="00D641CB" w:rsidRPr="002C75B8" w:rsidTr="00A7768B">
        <w:trPr>
          <w:jc w:val="center"/>
        </w:trPr>
        <w:tc>
          <w:tcPr>
            <w:tcW w:w="2310" w:type="dxa"/>
            <w:vAlign w:val="center"/>
          </w:tcPr>
          <w:p w:rsidR="00D641CB" w:rsidRPr="002C75B8" w:rsidRDefault="00D641CB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 tropica</w:t>
            </w:r>
          </w:p>
        </w:tc>
        <w:tc>
          <w:tcPr>
            <w:tcW w:w="1758" w:type="dxa"/>
            <w:vAlign w:val="center"/>
          </w:tcPr>
          <w:p w:rsidR="00D641CB" w:rsidRPr="002C75B8" w:rsidRDefault="00D641CB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ACL</w:t>
            </w:r>
          </w:p>
        </w:tc>
        <w:tc>
          <w:tcPr>
            <w:tcW w:w="2863" w:type="dxa"/>
            <w:vAlign w:val="center"/>
          </w:tcPr>
          <w:p w:rsidR="00D641CB" w:rsidRPr="002C75B8" w:rsidRDefault="00D641CB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sergenti</w:t>
            </w:r>
            <w:proofErr w:type="spellEnd"/>
          </w:p>
        </w:tc>
        <w:tc>
          <w:tcPr>
            <w:tcW w:w="2311" w:type="dxa"/>
            <w:vAlign w:val="center"/>
          </w:tcPr>
          <w:p w:rsidR="00D641CB" w:rsidRPr="002C75B8" w:rsidRDefault="00D641CB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Human</w:t>
            </w:r>
          </w:p>
        </w:tc>
      </w:tr>
    </w:tbl>
    <w:p w:rsidR="00D641CB" w:rsidRPr="002C75B8" w:rsidRDefault="00D641CB" w:rsidP="00D641CB">
      <w:pPr>
        <w:ind w:left="0" w:firstLine="0"/>
        <w:rPr>
          <w:b/>
          <w:bCs/>
          <w:sz w:val="22"/>
        </w:rPr>
      </w:pPr>
    </w:p>
    <w:p w:rsidR="00D641CB" w:rsidRPr="002C75B8" w:rsidRDefault="00D641CB" w:rsidP="00D641CB">
      <w:pPr>
        <w:ind w:left="0" w:firstLine="0"/>
        <w:rPr>
          <w:b/>
          <w:bCs/>
          <w:sz w:val="22"/>
        </w:rPr>
      </w:pPr>
    </w:p>
    <w:p w:rsidR="00D641CB" w:rsidRPr="002C75B8" w:rsidRDefault="00D641CB" w:rsidP="00D641CB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MAPS AND TRENDS</w:t>
      </w:r>
    </w:p>
    <w:p w:rsidR="00D641CB" w:rsidRPr="002C75B8" w:rsidRDefault="00D641CB" w:rsidP="00D641CB">
      <w:pPr>
        <w:ind w:left="0" w:firstLine="0"/>
        <w:rPr>
          <w:b/>
          <w:bCs/>
          <w:sz w:val="22"/>
        </w:rPr>
      </w:pPr>
    </w:p>
    <w:p w:rsidR="00D641CB" w:rsidRPr="002C75B8" w:rsidRDefault="00D641CB" w:rsidP="00D641CB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Visceral leishmaniasis</w:t>
      </w:r>
    </w:p>
    <w:p w:rsidR="00D641CB" w:rsidRDefault="00D641CB" w:rsidP="00D641CB">
      <w:pPr>
        <w:ind w:left="0" w:firstLine="0"/>
        <w:rPr>
          <w:sz w:val="22"/>
          <w:lang w:val="es-ES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19050</wp:posOffset>
            </wp:positionV>
            <wp:extent cx="3086100" cy="2183765"/>
            <wp:effectExtent l="19050" t="0" r="0" b="0"/>
            <wp:wrapNone/>
            <wp:docPr id="7" name="Picture 6" descr="TR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V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19050</wp:posOffset>
            </wp:positionV>
            <wp:extent cx="3200400" cy="2261870"/>
            <wp:effectExtent l="19050" t="0" r="0" b="0"/>
            <wp:wrapNone/>
            <wp:docPr id="6" name="Picture 5" descr="TR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V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Pr="002C75B8" w:rsidRDefault="00D641CB" w:rsidP="00D641CB">
      <w:pPr>
        <w:ind w:left="0" w:firstLine="0"/>
        <w:rPr>
          <w:sz w:val="22"/>
          <w:lang w:val="es-ES"/>
        </w:rPr>
      </w:pPr>
    </w:p>
    <w:p w:rsidR="00D641CB" w:rsidRPr="002C75B8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b/>
          <w:bCs/>
          <w:sz w:val="22"/>
        </w:rPr>
      </w:pPr>
    </w:p>
    <w:p w:rsidR="00D641CB" w:rsidRDefault="00D641CB" w:rsidP="00D641CB">
      <w:pPr>
        <w:ind w:left="0" w:firstLine="0"/>
        <w:rPr>
          <w:b/>
          <w:bCs/>
          <w:sz w:val="22"/>
        </w:rPr>
      </w:pPr>
    </w:p>
    <w:p w:rsidR="00D641CB" w:rsidRPr="002C75B8" w:rsidRDefault="00D641CB" w:rsidP="00D641CB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Cutaneous leishmaniasis</w:t>
      </w: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73660</wp:posOffset>
            </wp:positionV>
            <wp:extent cx="3211195" cy="2270125"/>
            <wp:effectExtent l="19050" t="0" r="8255" b="0"/>
            <wp:wrapNone/>
            <wp:docPr id="5" name="Picture 4" descr="TR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CLIR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27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73660</wp:posOffset>
            </wp:positionV>
            <wp:extent cx="3242945" cy="2292350"/>
            <wp:effectExtent l="19050" t="0" r="0" b="0"/>
            <wp:wrapNone/>
            <wp:docPr id="4" name="Picture 3" descr="TR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CLmo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Default="00D641CB" w:rsidP="00D641CB">
      <w:pPr>
        <w:ind w:left="0" w:firstLine="0"/>
        <w:rPr>
          <w:sz w:val="22"/>
          <w:lang w:val="es-ES"/>
        </w:rPr>
      </w:pPr>
    </w:p>
    <w:p w:rsidR="00D641CB" w:rsidRPr="002C75B8" w:rsidRDefault="00D641CB" w:rsidP="00D641CB">
      <w:pPr>
        <w:ind w:left="0" w:firstLine="0"/>
        <w:rPr>
          <w:sz w:val="22"/>
        </w:rPr>
      </w:pPr>
    </w:p>
    <w:p w:rsidR="00D641CB" w:rsidRDefault="00D641CB" w:rsidP="00D641CB">
      <w:pPr>
        <w:tabs>
          <w:tab w:val="left" w:pos="2076"/>
        </w:tabs>
        <w:ind w:left="0" w:firstLine="0"/>
        <w:rPr>
          <w:b/>
          <w:bCs/>
          <w:sz w:val="22"/>
        </w:rPr>
      </w:pPr>
    </w:p>
    <w:p w:rsidR="00D641CB" w:rsidRDefault="00D641CB" w:rsidP="00D641CB">
      <w:pPr>
        <w:tabs>
          <w:tab w:val="left" w:pos="2076"/>
        </w:tabs>
        <w:ind w:left="0" w:firstLine="0"/>
        <w:rPr>
          <w:b/>
          <w:bCs/>
          <w:sz w:val="22"/>
        </w:rPr>
      </w:pPr>
    </w:p>
    <w:p w:rsidR="00D641CB" w:rsidRDefault="00D641CB" w:rsidP="00D641CB">
      <w:pPr>
        <w:tabs>
          <w:tab w:val="left" w:pos="2076"/>
        </w:tabs>
        <w:ind w:left="0" w:firstLine="0"/>
        <w:rPr>
          <w:b/>
          <w:bCs/>
          <w:sz w:val="22"/>
        </w:rPr>
      </w:pPr>
    </w:p>
    <w:p w:rsidR="00D641CB" w:rsidRDefault="00D641CB" w:rsidP="00D641CB">
      <w:pPr>
        <w:tabs>
          <w:tab w:val="left" w:pos="2076"/>
        </w:tabs>
        <w:ind w:left="0" w:firstLine="0"/>
        <w:rPr>
          <w:b/>
          <w:bCs/>
          <w:sz w:val="22"/>
        </w:rPr>
      </w:pPr>
    </w:p>
    <w:p w:rsidR="00D641CB" w:rsidRDefault="00D641CB" w:rsidP="00D641CB">
      <w:pPr>
        <w:tabs>
          <w:tab w:val="left" w:pos="2076"/>
        </w:tabs>
        <w:ind w:left="0" w:firstLine="0"/>
        <w:rPr>
          <w:b/>
          <w:bCs/>
          <w:sz w:val="22"/>
        </w:rPr>
      </w:pPr>
    </w:p>
    <w:p w:rsidR="00D641CB" w:rsidRDefault="00D641CB" w:rsidP="00D641CB">
      <w:pPr>
        <w:tabs>
          <w:tab w:val="left" w:pos="2076"/>
        </w:tabs>
        <w:ind w:left="0" w:firstLine="0"/>
        <w:rPr>
          <w:b/>
          <w:bCs/>
          <w:sz w:val="22"/>
        </w:rPr>
      </w:pPr>
    </w:p>
    <w:p w:rsidR="00D641CB" w:rsidRPr="002C75B8" w:rsidRDefault="00D641CB" w:rsidP="00D641CB">
      <w:pPr>
        <w:tabs>
          <w:tab w:val="left" w:pos="2076"/>
        </w:tabs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lastRenderedPageBreak/>
        <w:t xml:space="preserve">Visceral leishmaniasis </w:t>
      </w:r>
      <w:proofErr w:type="spellStart"/>
      <w:r w:rsidRPr="002C75B8">
        <w:rPr>
          <w:b/>
          <w:bCs/>
          <w:sz w:val="22"/>
        </w:rPr>
        <w:t>trend</w:t>
      </w:r>
      <w:proofErr w:type="spellEnd"/>
    </w:p>
    <w:p w:rsidR="00D641CB" w:rsidRPr="002C75B8" w:rsidRDefault="00D641CB" w:rsidP="00D641CB">
      <w:pPr>
        <w:ind w:left="0" w:firstLine="0"/>
        <w:rPr>
          <w:b/>
          <w:bCs/>
          <w:sz w:val="22"/>
        </w:rPr>
      </w:pPr>
    </w:p>
    <w:p w:rsidR="00D641CB" w:rsidRPr="00B03818" w:rsidRDefault="00D641CB" w:rsidP="00D641CB">
      <w:pPr>
        <w:ind w:left="0" w:firstLine="0"/>
        <w:rPr>
          <w:b/>
          <w:bCs/>
          <w:sz w:val="22"/>
        </w:rPr>
      </w:pPr>
      <w:r>
        <w:rPr>
          <w:b/>
          <w:bCs/>
          <w:noProof/>
          <w:sz w:val="22"/>
          <w:lang w:val="en-US"/>
        </w:rPr>
        <w:drawing>
          <wp:inline distT="0" distB="0" distL="0" distR="0">
            <wp:extent cx="5605780" cy="2655570"/>
            <wp:effectExtent l="19050" t="0" r="0" b="0"/>
            <wp:docPr id="2" name="Picture 2" descr="Gráfico_trun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áfico_trunc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CB" w:rsidRPr="002C75B8" w:rsidRDefault="00D641CB" w:rsidP="00D641CB">
      <w:pPr>
        <w:ind w:left="0" w:firstLine="0"/>
        <w:rPr>
          <w:b/>
          <w:bCs/>
          <w:sz w:val="22"/>
        </w:rPr>
      </w:pPr>
    </w:p>
    <w:p w:rsidR="00D641CB" w:rsidRPr="002C75B8" w:rsidRDefault="00D641CB" w:rsidP="00D641CB">
      <w:pPr>
        <w:ind w:left="0" w:firstLine="0"/>
        <w:rPr>
          <w:b/>
          <w:bCs/>
          <w:sz w:val="22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147955</wp:posOffset>
            </wp:positionV>
            <wp:extent cx="6743700" cy="2854960"/>
            <wp:effectExtent l="0" t="0" r="0" b="0"/>
            <wp:wrapNone/>
            <wp:docPr id="3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2C75B8">
        <w:rPr>
          <w:rFonts w:eastAsia="Times New Roman"/>
          <w:b/>
          <w:bCs/>
          <w:sz w:val="22"/>
          <w:lang w:eastAsia="es-ES"/>
        </w:rPr>
        <w:t xml:space="preserve">Cutaneous leishmaniasis </w:t>
      </w:r>
      <w:proofErr w:type="spellStart"/>
      <w:r w:rsidRPr="002C75B8">
        <w:rPr>
          <w:rFonts w:eastAsia="Times New Roman"/>
          <w:b/>
          <w:bCs/>
          <w:sz w:val="22"/>
          <w:lang w:eastAsia="es-ES"/>
        </w:rPr>
        <w:t>trend</w:t>
      </w:r>
      <w:proofErr w:type="spellEnd"/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val="es-ES"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val="es-ES"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val="es-ES"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val="es-ES"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D641CB" w:rsidRDefault="00D641CB" w:rsidP="00D641CB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2C75B8">
        <w:rPr>
          <w:rFonts w:eastAsia="Times New Roman"/>
          <w:b/>
          <w:bCs/>
          <w:sz w:val="22"/>
          <w:lang w:val="en-GB" w:eastAsia="es-ES"/>
        </w:rPr>
        <w:t>CONTROL</w:t>
      </w:r>
    </w:p>
    <w:p w:rsidR="00D641CB" w:rsidRPr="002C75B8" w:rsidRDefault="00D641CB" w:rsidP="00D641CB">
      <w:pPr>
        <w:ind w:left="0" w:firstLine="0"/>
        <w:rPr>
          <w:rFonts w:eastAsia="Times New Roman"/>
          <w:sz w:val="22"/>
          <w:lang w:val="en-GB"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GB" w:eastAsia="es-ES"/>
        </w:rPr>
        <w:t xml:space="preserve">The notification of leishmaniasis is mandatory for CL and VL. </w:t>
      </w:r>
      <w:r>
        <w:rPr>
          <w:rFonts w:eastAsia="Times New Roman"/>
          <w:sz w:val="22"/>
          <w:lang w:val="en-GB" w:eastAsia="es-ES"/>
        </w:rPr>
        <w:t>A</w:t>
      </w:r>
      <w:r w:rsidRPr="002C75B8">
        <w:rPr>
          <w:rFonts w:eastAsia="Times New Roman"/>
          <w:sz w:val="22"/>
          <w:lang w:val="en-GB" w:eastAsia="es-ES"/>
        </w:rPr>
        <w:t xml:space="preserve"> </w:t>
      </w:r>
      <w:r w:rsidRPr="002C75B8">
        <w:rPr>
          <w:rFonts w:eastAsia="Times New Roman"/>
          <w:sz w:val="22"/>
          <w:lang w:val="en-US" w:eastAsia="es-ES"/>
        </w:rPr>
        <w:t xml:space="preserve">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 xml:space="preserve">eishmaniasis control program </w:t>
      </w:r>
      <w:r>
        <w:rPr>
          <w:rFonts w:eastAsia="Times New Roman"/>
          <w:sz w:val="22"/>
          <w:lang w:val="en-US" w:eastAsia="es-ES"/>
        </w:rPr>
        <w:t xml:space="preserve">has been in place </w:t>
      </w:r>
      <w:r w:rsidRPr="002C75B8">
        <w:rPr>
          <w:rFonts w:eastAsia="Times New Roman"/>
          <w:sz w:val="22"/>
          <w:lang w:val="en-US" w:eastAsia="es-ES"/>
        </w:rPr>
        <w:t>since 1996. There is no leishmaniasis vector control program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but </w:t>
      </w:r>
      <w:r>
        <w:rPr>
          <w:rFonts w:eastAsia="Times New Roman"/>
          <w:sz w:val="22"/>
          <w:lang w:val="en-US" w:eastAsia="es-ES"/>
        </w:rPr>
        <w:t xml:space="preserve">vector </w:t>
      </w:r>
      <w:r w:rsidRPr="002C75B8">
        <w:rPr>
          <w:rFonts w:eastAsia="Times New Roman"/>
          <w:sz w:val="22"/>
          <w:lang w:val="en-US" w:eastAsia="es-ES"/>
        </w:rPr>
        <w:t>c</w:t>
      </w:r>
      <w:proofErr w:type="spellStart"/>
      <w:r w:rsidRPr="002C75B8">
        <w:rPr>
          <w:rFonts w:eastAsia="Times New Roman"/>
          <w:sz w:val="22"/>
          <w:lang w:val="en-GB" w:eastAsia="es-ES"/>
        </w:rPr>
        <w:t>ontrol</w:t>
      </w:r>
      <w:proofErr w:type="spellEnd"/>
      <w:r w:rsidRPr="002C75B8">
        <w:rPr>
          <w:rFonts w:eastAsia="Times New Roman"/>
          <w:sz w:val="22"/>
          <w:lang w:val="en-GB" w:eastAsia="es-ES"/>
        </w:rPr>
        <w:t xml:space="preserve"> strategies are integrated into a</w:t>
      </w:r>
      <w:r>
        <w:rPr>
          <w:rFonts w:eastAsia="Times New Roman"/>
          <w:sz w:val="22"/>
          <w:lang w:val="en-GB" w:eastAsia="es-ES"/>
        </w:rPr>
        <w:t xml:space="preserve"> </w:t>
      </w:r>
      <w:r w:rsidRPr="002C75B8">
        <w:rPr>
          <w:rFonts w:eastAsia="Times New Roman"/>
          <w:sz w:val="22"/>
          <w:lang w:val="en-GB" w:eastAsia="es-ES"/>
        </w:rPr>
        <w:t xml:space="preserve">malaria control </w:t>
      </w:r>
      <w:r>
        <w:rPr>
          <w:rFonts w:eastAsia="Times New Roman"/>
          <w:sz w:val="22"/>
          <w:lang w:val="en-GB" w:eastAsia="es-ES"/>
        </w:rPr>
        <w:t xml:space="preserve">program </w:t>
      </w:r>
      <w:r w:rsidRPr="002C75B8">
        <w:rPr>
          <w:rFonts w:eastAsia="Times New Roman"/>
          <w:sz w:val="22"/>
          <w:lang w:val="en-GB" w:eastAsia="es-ES"/>
        </w:rPr>
        <w:t xml:space="preserve">and include use of insecticides and promotion of the use of regular small mesh and impregnated bednets. There is </w:t>
      </w:r>
      <w:r w:rsidRPr="002C75B8">
        <w:rPr>
          <w:rFonts w:eastAsia="Times New Roman"/>
          <w:sz w:val="22"/>
          <w:lang w:val="en-US" w:eastAsia="es-ES"/>
        </w:rPr>
        <w:t xml:space="preserve">no leishmaniasis reservoir control program. Dogs are not checked for infection and there is no program for sacrifice of positive dogs. </w:t>
      </w:r>
    </w:p>
    <w:p w:rsidR="00D641CB" w:rsidRPr="002C75B8" w:rsidRDefault="00D641CB" w:rsidP="00D641CB">
      <w:pPr>
        <w:ind w:left="0" w:firstLine="0"/>
        <w:rPr>
          <w:rFonts w:eastAsia="Times New Roman"/>
          <w:sz w:val="22"/>
          <w:lang w:val="en-US" w:eastAsia="es-ES"/>
        </w:rPr>
      </w:pPr>
    </w:p>
    <w:p w:rsidR="00D641CB" w:rsidRPr="002C75B8" w:rsidRDefault="00D641CB" w:rsidP="00D641CB">
      <w:pPr>
        <w:ind w:left="0" w:firstLine="0"/>
        <w:rPr>
          <w:rFonts w:eastAsia="Times New Roman"/>
          <w:sz w:val="22"/>
          <w:lang w:val="en-US" w:eastAsia="es-ES"/>
        </w:rPr>
      </w:pPr>
    </w:p>
    <w:p w:rsidR="00D641CB" w:rsidRPr="002C75B8" w:rsidRDefault="00D641CB" w:rsidP="00D641CB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 xml:space="preserve">DIAGNOSIS, TREATMENT </w:t>
      </w:r>
    </w:p>
    <w:p w:rsidR="00D641CB" w:rsidRPr="002C75B8" w:rsidRDefault="00D641CB" w:rsidP="00D641CB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Diagnosis </w:t>
      </w:r>
    </w:p>
    <w:p w:rsidR="00D641CB" w:rsidRPr="00562689" w:rsidRDefault="00D641CB" w:rsidP="00D641CB">
      <w:pPr>
        <w:ind w:left="0" w:firstLine="0"/>
        <w:rPr>
          <w:sz w:val="22"/>
        </w:rPr>
      </w:pPr>
      <w:r w:rsidRPr="00562689">
        <w:rPr>
          <w:sz w:val="22"/>
        </w:rPr>
        <w:t xml:space="preserve">VL: </w:t>
      </w:r>
      <w:proofErr w:type="spellStart"/>
      <w:r w:rsidRPr="00562689">
        <w:rPr>
          <w:sz w:val="22"/>
        </w:rPr>
        <w:t>antigen-based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rapid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diagnostic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tests</w:t>
      </w:r>
      <w:proofErr w:type="spellEnd"/>
      <w:r w:rsidRPr="00562689">
        <w:rPr>
          <w:sz w:val="22"/>
        </w:rPr>
        <w:t xml:space="preserve"> (rK39), IFAT, ELISA. PCR </w:t>
      </w:r>
      <w:proofErr w:type="spellStart"/>
      <w:r w:rsidRPr="00562689">
        <w:rPr>
          <w:sz w:val="22"/>
        </w:rPr>
        <w:t>is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used</w:t>
      </w:r>
      <w:proofErr w:type="spellEnd"/>
      <w:r w:rsidRPr="00562689">
        <w:rPr>
          <w:sz w:val="22"/>
        </w:rPr>
        <w:t xml:space="preserve"> in </w:t>
      </w:r>
      <w:proofErr w:type="spellStart"/>
      <w:r w:rsidRPr="00562689">
        <w:rPr>
          <w:sz w:val="22"/>
        </w:rPr>
        <w:t>reference</w:t>
      </w:r>
      <w:proofErr w:type="spellEnd"/>
      <w:r w:rsidRPr="00562689">
        <w:rPr>
          <w:sz w:val="22"/>
        </w:rPr>
        <w:t xml:space="preserve"> centers.  </w:t>
      </w:r>
    </w:p>
    <w:p w:rsidR="00D641CB" w:rsidRDefault="00D641CB" w:rsidP="00D641CB">
      <w:pPr>
        <w:ind w:left="0" w:firstLine="0"/>
        <w:rPr>
          <w:lang w:val="en-GB"/>
        </w:rPr>
      </w:pPr>
      <w:r w:rsidRPr="00562689">
        <w:rPr>
          <w:sz w:val="22"/>
        </w:rPr>
        <w:t xml:space="preserve">CL: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with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skin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lesion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sample</w:t>
      </w:r>
      <w:proofErr w:type="spellEnd"/>
      <w:r w:rsidRPr="00562689">
        <w:rPr>
          <w:sz w:val="22"/>
        </w:rPr>
        <w:t xml:space="preserve">. In </w:t>
      </w:r>
      <w:proofErr w:type="spellStart"/>
      <w:r w:rsidRPr="00562689">
        <w:rPr>
          <w:sz w:val="22"/>
        </w:rPr>
        <w:t>specialized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hospitals</w:t>
      </w:r>
      <w:proofErr w:type="spellEnd"/>
      <w:r w:rsidRPr="00562689">
        <w:rPr>
          <w:sz w:val="22"/>
        </w:rPr>
        <w:t xml:space="preserve">, </w:t>
      </w:r>
      <w:proofErr w:type="spellStart"/>
      <w:r w:rsidRPr="00562689">
        <w:rPr>
          <w:sz w:val="22"/>
        </w:rPr>
        <w:t>cultures</w:t>
      </w:r>
      <w:proofErr w:type="spellEnd"/>
      <w:r w:rsidRPr="00562689">
        <w:rPr>
          <w:sz w:val="22"/>
        </w:rPr>
        <w:t xml:space="preserve"> are done</w:t>
      </w:r>
      <w:r w:rsidRPr="002C75B8">
        <w:rPr>
          <w:lang w:val="en-GB"/>
        </w:rPr>
        <w:t xml:space="preserve">. 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</w:p>
    <w:p w:rsidR="00D641CB" w:rsidRPr="002C75B8" w:rsidRDefault="00D641CB" w:rsidP="00D641CB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GB"/>
        </w:rPr>
        <w:t>Treatment</w:t>
      </w:r>
    </w:p>
    <w:p w:rsidR="00D641CB" w:rsidRPr="00562689" w:rsidRDefault="00D641CB" w:rsidP="00D641CB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GB"/>
        </w:rPr>
        <w:t>VL</w:t>
      </w:r>
      <w:r w:rsidRPr="00562689">
        <w:rPr>
          <w:bCs/>
          <w:sz w:val="22"/>
          <w:lang w:val="en-GB"/>
        </w:rPr>
        <w:t xml:space="preserve">: antimonials, 20 mg </w:t>
      </w:r>
      <w:proofErr w:type="spellStart"/>
      <w:r w:rsidRPr="00562689">
        <w:rPr>
          <w:bCs/>
          <w:sz w:val="22"/>
          <w:lang w:val="en-GB"/>
        </w:rPr>
        <w:t>Sb</w:t>
      </w:r>
      <w:r w:rsidRPr="00562689">
        <w:rPr>
          <w:bCs/>
          <w:sz w:val="22"/>
          <w:vertAlign w:val="superscript"/>
          <w:lang w:val="en-GB"/>
        </w:rPr>
        <w:t>v</w:t>
      </w:r>
      <w:proofErr w:type="spellEnd"/>
      <w:r w:rsidRPr="00562689">
        <w:rPr>
          <w:bCs/>
          <w:sz w:val="22"/>
          <w:lang w:val="en-GB"/>
        </w:rPr>
        <w:t xml:space="preserve">/kg/day for 30 days. Cure rate is around 95%. Second line treatment is with liposomal amphotericin B. </w:t>
      </w:r>
    </w:p>
    <w:p w:rsidR="00D641CB" w:rsidRPr="002C75B8" w:rsidRDefault="00D641CB" w:rsidP="00D641CB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GB"/>
        </w:rPr>
        <w:t>CL</w:t>
      </w:r>
      <w:r w:rsidRPr="00562689">
        <w:rPr>
          <w:bCs/>
          <w:sz w:val="22"/>
          <w:lang w:val="en-GB"/>
        </w:rPr>
        <w:t>: antimonials</w:t>
      </w:r>
      <w:r w:rsidRPr="002C75B8">
        <w:rPr>
          <w:bCs/>
          <w:sz w:val="22"/>
          <w:lang w:val="en-GB"/>
        </w:rPr>
        <w:t>, 20</w:t>
      </w:r>
      <w:r>
        <w:rPr>
          <w:bCs/>
          <w:sz w:val="22"/>
          <w:lang w:val="en-GB"/>
        </w:rPr>
        <w:t xml:space="preserve"> </w:t>
      </w:r>
      <w:r w:rsidRPr="002C75B8">
        <w:rPr>
          <w:bCs/>
          <w:sz w:val="22"/>
          <w:lang w:val="en-GB"/>
        </w:rPr>
        <w:t xml:space="preserve">mg </w:t>
      </w:r>
      <w:proofErr w:type="spellStart"/>
      <w:r w:rsidRPr="002C75B8">
        <w:rPr>
          <w:bCs/>
          <w:sz w:val="22"/>
          <w:lang w:val="en-GB"/>
        </w:rPr>
        <w:t>Sb</w:t>
      </w:r>
      <w:r>
        <w:rPr>
          <w:bCs/>
          <w:sz w:val="22"/>
          <w:vertAlign w:val="superscript"/>
          <w:lang w:val="en-GB"/>
        </w:rPr>
        <w:t>v</w:t>
      </w:r>
      <w:proofErr w:type="spellEnd"/>
      <w:r w:rsidRPr="002C75B8">
        <w:rPr>
          <w:bCs/>
          <w:sz w:val="22"/>
          <w:lang w:val="en-GB"/>
        </w:rPr>
        <w:t xml:space="preserve">/kg/day for 28 days. Second line treatment is amphotericin B. </w:t>
      </w:r>
    </w:p>
    <w:p w:rsidR="00D641CB" w:rsidRDefault="00D641CB" w:rsidP="00D641CB">
      <w:pPr>
        <w:ind w:left="0" w:firstLine="0"/>
        <w:rPr>
          <w:sz w:val="22"/>
          <w:lang w:val="en-US"/>
        </w:rPr>
      </w:pPr>
    </w:p>
    <w:p w:rsidR="00D641CB" w:rsidRPr="002C75B8" w:rsidRDefault="00D641CB" w:rsidP="00D641CB">
      <w:pPr>
        <w:ind w:left="0" w:firstLine="0"/>
        <w:rPr>
          <w:sz w:val="22"/>
          <w:lang w:val="en-US"/>
        </w:rPr>
      </w:pPr>
    </w:p>
    <w:p w:rsidR="00D641CB" w:rsidRPr="002C75B8" w:rsidRDefault="00D641CB" w:rsidP="00D641CB">
      <w:pPr>
        <w:spacing w:line="360" w:lineRule="auto"/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D641CB" w:rsidRPr="002C75B8" w:rsidRDefault="00D641CB" w:rsidP="00D641CB">
      <w:pPr>
        <w:ind w:left="0" w:firstLine="0"/>
        <w:rPr>
          <w:sz w:val="22"/>
          <w:lang w:val="en-GB"/>
        </w:rPr>
      </w:pPr>
    </w:p>
    <w:p w:rsidR="00D641CB" w:rsidRPr="002C75B8" w:rsidRDefault="00D641CB" w:rsidP="00D641CB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Care for leishmaniasis is provided for free. Diagnosis and treatment for VL is only possible in secondary and tertiary hospitals. CL can be diagnosed and treated at health </w:t>
      </w:r>
      <w:proofErr w:type="spellStart"/>
      <w:r w:rsidRPr="002C75B8">
        <w:rPr>
          <w:sz w:val="22"/>
          <w:lang w:val="en-GB"/>
        </w:rPr>
        <w:t>cente</w:t>
      </w:r>
      <w:r>
        <w:rPr>
          <w:sz w:val="22"/>
          <w:lang w:val="en-GB"/>
        </w:rPr>
        <w:t>r</w:t>
      </w:r>
      <w:proofErr w:type="spellEnd"/>
      <w:r w:rsidRPr="002C75B8">
        <w:rPr>
          <w:sz w:val="22"/>
          <w:lang w:val="en-GB"/>
        </w:rPr>
        <w:t xml:space="preserve"> level. The Ministry of Health purchased sufficient antimonials (Glucantime, </w:t>
      </w:r>
      <w:proofErr w:type="spellStart"/>
      <w:r>
        <w:rPr>
          <w:sz w:val="22"/>
          <w:lang w:val="en-GB"/>
        </w:rPr>
        <w:t>Sanofi</w:t>
      </w:r>
      <w:proofErr w:type="spellEnd"/>
      <w:r w:rsidRPr="002C75B8">
        <w:rPr>
          <w:sz w:val="22"/>
          <w:lang w:val="en-GB"/>
        </w:rPr>
        <w:t xml:space="preserve">, and Pentostam, GSK) to treat all patients in 2007 and 2008. All patients are thought to have access to care. </w:t>
      </w:r>
    </w:p>
    <w:p w:rsidR="00D641CB" w:rsidRPr="002C75B8" w:rsidRDefault="00D641CB" w:rsidP="00D641CB">
      <w:pPr>
        <w:ind w:left="0" w:firstLine="0"/>
        <w:rPr>
          <w:sz w:val="22"/>
          <w:lang w:val="en-GB"/>
        </w:rPr>
      </w:pPr>
    </w:p>
    <w:p w:rsidR="00D641CB" w:rsidRPr="002C75B8" w:rsidRDefault="00D641CB" w:rsidP="00D641CB">
      <w:pPr>
        <w:ind w:left="0" w:firstLine="0"/>
        <w:rPr>
          <w:sz w:val="22"/>
          <w:lang w:val="en-GB"/>
        </w:rPr>
      </w:pPr>
    </w:p>
    <w:p w:rsidR="00D641CB" w:rsidRPr="002C75B8" w:rsidRDefault="00D641CB" w:rsidP="00D641CB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D641CB" w:rsidRPr="002C75B8" w:rsidRDefault="00D641CB" w:rsidP="00D641CB">
      <w:pPr>
        <w:ind w:left="0" w:firstLine="0"/>
        <w:rPr>
          <w:sz w:val="22"/>
          <w:lang w:val="en-GB"/>
        </w:rPr>
      </w:pPr>
    </w:p>
    <w:p w:rsidR="00D641CB" w:rsidRPr="002C75B8" w:rsidRDefault="00D641CB" w:rsidP="00D641CB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Meglumine antimoniate and sodium stibogluconate are included in the National Essential Drug List for leishmaniasis. Sodium stibogluconate (Pentostam, GSK) is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Turkey</w:t>
          </w:r>
        </w:smartTag>
      </w:smartTag>
      <w:r w:rsidRPr="002C75B8">
        <w:rPr>
          <w:sz w:val="22"/>
          <w:lang w:val="en-GB"/>
        </w:rPr>
        <w:t xml:space="preserve">, but not available in private pharmacies. Liposomal amphotericin B (AmBisome, </w:t>
      </w:r>
      <w:smartTag w:uri="urn:schemas-microsoft-com:office:smarttags" w:element="place">
        <w:r w:rsidRPr="002C75B8">
          <w:rPr>
            <w:sz w:val="22"/>
            <w:lang w:val="en-GB"/>
          </w:rPr>
          <w:t>Gilead</w:t>
        </w:r>
      </w:smartTag>
      <w:r w:rsidRPr="002C75B8">
        <w:rPr>
          <w:sz w:val="22"/>
          <w:lang w:val="en-GB"/>
        </w:rPr>
        <w:t xml:space="preserve">) is available in private pharmacies for 228 USD per vial. </w:t>
      </w:r>
    </w:p>
    <w:p w:rsidR="00D641CB" w:rsidRPr="002C75B8" w:rsidRDefault="00D641CB" w:rsidP="00D641CB">
      <w:pPr>
        <w:ind w:left="0" w:firstLine="0"/>
        <w:rPr>
          <w:sz w:val="22"/>
          <w:lang w:val="en-US"/>
        </w:rPr>
      </w:pPr>
    </w:p>
    <w:p w:rsidR="00D641CB" w:rsidRPr="002C75B8" w:rsidRDefault="00D641CB" w:rsidP="00D641CB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 </w:t>
      </w:r>
    </w:p>
    <w:p w:rsidR="00D641CB" w:rsidRPr="002C75B8" w:rsidRDefault="00D641CB" w:rsidP="00D641CB">
      <w:pPr>
        <w:ind w:left="0" w:firstLine="0"/>
        <w:rPr>
          <w:sz w:val="22"/>
          <w:lang w:val="en-GB"/>
        </w:rPr>
      </w:pPr>
    </w:p>
    <w:p w:rsidR="00D641CB" w:rsidRPr="002C75B8" w:rsidRDefault="00D641CB" w:rsidP="00D641CB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D641CB" w:rsidRPr="002D7A89" w:rsidRDefault="00D641CB" w:rsidP="00D641CB">
      <w:pPr>
        <w:numPr>
          <w:ilvl w:val="0"/>
          <w:numId w:val="5"/>
        </w:numPr>
        <w:ind w:right="-1"/>
        <w:rPr>
          <w:bCs/>
          <w:i/>
          <w:iCs/>
          <w:sz w:val="22"/>
          <w:lang w:val="en-GB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Dr Yusuf </w:t>
      </w:r>
      <w:proofErr w:type="spellStart"/>
      <w:r w:rsidRPr="002C75B8">
        <w:rPr>
          <w:rFonts w:eastAsia="+mn-ea"/>
          <w:color w:val="000000"/>
          <w:kern w:val="24"/>
          <w:sz w:val="22"/>
          <w:lang w:val="en-US" w:eastAsia="es-ES"/>
        </w:rPr>
        <w:t>Özbel</w:t>
      </w:r>
      <w:proofErr w:type="spellEnd"/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, </w:t>
      </w:r>
      <w:smartTag w:uri="urn:schemas-microsoft-com:office:smarttags" w:element="PlaceType">
        <w:r w:rsidRPr="002C75B8">
          <w:rPr>
            <w:rFonts w:eastAsia="+mn-ea"/>
            <w:color w:val="000000"/>
            <w:kern w:val="24"/>
            <w:sz w:val="22"/>
            <w:lang w:val="en-US" w:eastAsia="es-ES"/>
          </w:rPr>
          <w:t>University</w:t>
        </w:r>
      </w:smartTag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  <w:smartTag w:uri="urn:schemas-microsoft-com:office:smarttags" w:element="PlaceName">
        <w:r w:rsidRPr="002C75B8">
          <w:rPr>
            <w:rFonts w:eastAsia="+mn-ea"/>
            <w:color w:val="000000"/>
            <w:kern w:val="24"/>
            <w:sz w:val="22"/>
            <w:lang w:val="en-US" w:eastAsia="es-ES"/>
          </w:rPr>
          <w:t>Medical</w:t>
        </w:r>
      </w:smartTag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  <w:smartTag w:uri="urn:schemas-microsoft-com:office:smarttags" w:element="PlaceType">
        <w:r w:rsidRPr="002C75B8">
          <w:rPr>
            <w:rFonts w:eastAsia="+mn-ea"/>
            <w:color w:val="000000"/>
            <w:kern w:val="24"/>
            <w:sz w:val="22"/>
            <w:lang w:val="en-US" w:eastAsia="es-ES"/>
          </w:rPr>
          <w:t>School</w:t>
        </w:r>
      </w:smartTag>
      <w:r>
        <w:rPr>
          <w:rFonts w:eastAsia="+mn-ea"/>
          <w:color w:val="000000"/>
          <w:kern w:val="24"/>
          <w:sz w:val="22"/>
          <w:lang w:val="en-US" w:eastAsia="es-ES"/>
        </w:rPr>
        <w:t>,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 Department of </w:t>
      </w:r>
      <w:proofErr w:type="spellStart"/>
      <w:r w:rsidRPr="002C75B8">
        <w:rPr>
          <w:rFonts w:eastAsia="+mn-ea"/>
          <w:color w:val="000000"/>
          <w:kern w:val="24"/>
          <w:sz w:val="22"/>
          <w:lang w:val="en-US" w:eastAsia="es-ES"/>
        </w:rPr>
        <w:t>Parasitology</w:t>
      </w:r>
      <w:proofErr w:type="spellEnd"/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C75B8">
            <w:rPr>
              <w:rFonts w:eastAsia="+mn-ea"/>
              <w:color w:val="000000"/>
              <w:kern w:val="24"/>
              <w:sz w:val="22"/>
              <w:lang w:val="en-US" w:eastAsia="es-ES"/>
            </w:rPr>
            <w:t>Izmir</w:t>
          </w:r>
        </w:smartTag>
      </w:smartTag>
      <w:r>
        <w:rPr>
          <w:rFonts w:eastAsia="+mn-ea"/>
          <w:color w:val="000000"/>
          <w:kern w:val="24"/>
          <w:sz w:val="22"/>
          <w:lang w:val="en-US" w:eastAsia="es-ES"/>
        </w:rPr>
        <w:t xml:space="preserve">. </w:t>
      </w:r>
      <w:r w:rsidRPr="002D7A89">
        <w:rPr>
          <w:bCs/>
          <w:i/>
          <w:iCs/>
          <w:sz w:val="22"/>
          <w:lang w:val="en-GB"/>
        </w:rPr>
        <w:t xml:space="preserve">Leishmaniasis in the European Region, a WHO consultative </w:t>
      </w:r>
      <w:proofErr w:type="spellStart"/>
      <w:r w:rsidRPr="002D7A89">
        <w:rPr>
          <w:bCs/>
          <w:i/>
          <w:iCs/>
          <w:sz w:val="22"/>
          <w:lang w:val="en-GB"/>
        </w:rPr>
        <w:t>intercountry</w:t>
      </w:r>
      <w:proofErr w:type="spellEnd"/>
      <w:r w:rsidRPr="002D7A89">
        <w:rPr>
          <w:bCs/>
          <w:i/>
          <w:iCs/>
          <w:sz w:val="22"/>
          <w:lang w:val="en-GB"/>
        </w:rPr>
        <w:t xml:space="preserve"> meeting, </w:t>
      </w:r>
      <w:smartTag w:uri="urn:schemas-microsoft-com:office:smarttags" w:element="place">
        <w:smartTag w:uri="urn:schemas-microsoft-com:office:smarttags" w:element="City">
          <w:r w:rsidRPr="002D7A89">
            <w:rPr>
              <w:bCs/>
              <w:i/>
              <w:iCs/>
              <w:sz w:val="22"/>
              <w:lang w:val="en-GB"/>
            </w:rPr>
            <w:t>Istanbul</w:t>
          </w:r>
        </w:smartTag>
        <w:r w:rsidRPr="002D7A89">
          <w:rPr>
            <w:bCs/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2D7A89">
            <w:rPr>
              <w:bCs/>
              <w:i/>
              <w:iCs/>
              <w:sz w:val="22"/>
              <w:lang w:val="en-GB"/>
            </w:rPr>
            <w:t>Turkey</w:t>
          </w:r>
        </w:smartTag>
      </w:smartTag>
      <w:r w:rsidRPr="002D7A89">
        <w:rPr>
          <w:bCs/>
          <w:i/>
          <w:iCs/>
          <w:sz w:val="22"/>
          <w:lang w:val="en-GB"/>
        </w:rPr>
        <w:t>, 17–19 November 2009</w:t>
      </w:r>
      <w:r>
        <w:rPr>
          <w:bCs/>
          <w:i/>
          <w:iCs/>
          <w:sz w:val="22"/>
          <w:lang w:val="en-GB"/>
        </w:rPr>
        <w:t>.</w:t>
      </w:r>
    </w:p>
    <w:p w:rsidR="00D641CB" w:rsidRPr="002C75B8" w:rsidRDefault="00D641CB" w:rsidP="00D641CB">
      <w:pPr>
        <w:ind w:left="0" w:firstLine="0"/>
        <w:contextualSpacing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</w:p>
    <w:p w:rsidR="00D641CB" w:rsidRDefault="00D641CB" w:rsidP="00D641CB">
      <w:pPr>
        <w:spacing w:line="480" w:lineRule="auto"/>
        <w:ind w:left="0" w:firstLine="0"/>
        <w:rPr>
          <w:sz w:val="22"/>
          <w:lang w:val="en-US"/>
        </w:rPr>
      </w:pPr>
    </w:p>
    <w:p w:rsidR="00D641CB" w:rsidRPr="00D641CB" w:rsidRDefault="00D641CB" w:rsidP="00D641CB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641CB">
        <w:rPr>
          <w:rFonts w:ascii="Arial" w:hAnsi="Arial" w:cs="Arial"/>
          <w:color w:val="000000"/>
          <w:sz w:val="22"/>
          <w:szCs w:val="22"/>
          <w:lang w:val="en-US"/>
        </w:rPr>
        <w:t xml:space="preserve">1. </w:t>
      </w:r>
      <w:r w:rsidRPr="00D641CB">
        <w:rPr>
          <w:rFonts w:ascii="Arial" w:eastAsia="+mn-ea" w:hAnsi="Arial" w:cs="Arial"/>
          <w:color w:val="000000"/>
          <w:kern w:val="24"/>
          <w:sz w:val="22"/>
          <w:lang w:val="en-US" w:eastAsia="es-ES"/>
        </w:rPr>
        <w:t>Ö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zbel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Y,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Turgay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N,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Ozensoy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S,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Ozbilgin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Alkan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MZ </w:t>
      </w:r>
      <w:r w:rsidRPr="00D641CB">
        <w:rPr>
          <w:rFonts w:ascii="Arial" w:eastAsia="+mn-ea" w:hAnsi="Arial" w:cs="Arial"/>
          <w:color w:val="000000"/>
          <w:kern w:val="24"/>
          <w:sz w:val="22"/>
          <w:lang w:val="en-US" w:eastAsia="es-ES"/>
        </w:rPr>
        <w:t>et al (1995)</w:t>
      </w:r>
      <w:r w:rsidRPr="00D641CB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12" w:history="1">
        <w:proofErr w:type="gramStart"/>
        <w:r w:rsidRPr="00D641CB">
          <w:rPr>
            <w:rFonts w:ascii="Arial" w:hAnsi="Arial" w:cs="Arial"/>
            <w:color w:val="000000"/>
            <w:sz w:val="22"/>
            <w:szCs w:val="22"/>
          </w:rPr>
          <w:t>Epidemiology, diagnosis and control of leishmaniasis in the Mediterranean region.</w:t>
        </w:r>
        <w:proofErr w:type="gramEnd"/>
      </w:hyperlink>
      <w:r w:rsidRPr="00D641CB">
        <w:rPr>
          <w:rFonts w:ascii="Arial" w:hAnsi="Arial" w:cs="Arial"/>
          <w:color w:val="000000"/>
          <w:sz w:val="22"/>
          <w:szCs w:val="22"/>
        </w:rPr>
        <w:t xml:space="preserve"> Ann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Trop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Parasitol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89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Suppl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1:89-93.</w:t>
      </w:r>
    </w:p>
    <w:p w:rsidR="00D641CB" w:rsidRPr="00D641CB" w:rsidRDefault="00D641CB" w:rsidP="00D641CB">
      <w:pPr>
        <w:ind w:left="0" w:firstLine="0"/>
        <w:rPr>
          <w:color w:val="000000"/>
          <w:sz w:val="22"/>
          <w:lang w:val="en-GB"/>
        </w:rPr>
      </w:pPr>
    </w:p>
    <w:p w:rsidR="00D641CB" w:rsidRPr="00D641CB" w:rsidRDefault="00D641CB" w:rsidP="00D641CB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641CB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Ozensoy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S, </w:t>
      </w:r>
      <w:r w:rsidRPr="00D641CB">
        <w:rPr>
          <w:rFonts w:ascii="Arial" w:eastAsia="+mn-ea" w:hAnsi="Arial" w:cs="Arial"/>
          <w:color w:val="000000"/>
          <w:kern w:val="24"/>
          <w:sz w:val="22"/>
          <w:lang w:val="en-US" w:eastAsia="es-ES"/>
        </w:rPr>
        <w:t>Ö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zbel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Y,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Turgay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N,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Alkan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MZ,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Gul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K et al (1998). </w:t>
      </w:r>
      <w:hyperlink r:id="rId13" w:history="1">
        <w:proofErr w:type="spellStart"/>
        <w:proofErr w:type="gramStart"/>
        <w:r w:rsidRPr="00D641CB">
          <w:rPr>
            <w:rFonts w:ascii="Arial" w:hAnsi="Arial" w:cs="Arial"/>
            <w:color w:val="000000"/>
            <w:sz w:val="22"/>
            <w:szCs w:val="22"/>
          </w:rPr>
          <w:t>Serodiagnosis</w:t>
        </w:r>
        <w:proofErr w:type="spellEnd"/>
        <w:r w:rsidRPr="00D641CB">
          <w:rPr>
            <w:rFonts w:ascii="Arial" w:hAnsi="Arial" w:cs="Arial"/>
            <w:color w:val="000000"/>
            <w:sz w:val="22"/>
            <w:szCs w:val="22"/>
          </w:rPr>
          <w:t xml:space="preserve"> and epidemiology of visceral leishmaniasis in Turkey.</w:t>
        </w:r>
        <w:proofErr w:type="gramEnd"/>
      </w:hyperlink>
      <w:r w:rsidRPr="00D641CB">
        <w:rPr>
          <w:rFonts w:ascii="Arial" w:hAnsi="Arial" w:cs="Arial"/>
          <w:color w:val="000000"/>
          <w:sz w:val="22"/>
          <w:szCs w:val="22"/>
        </w:rPr>
        <w:t xml:space="preserve"> Am J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Trop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Hyg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59(3):363-</w:t>
      </w:r>
      <w:proofErr w:type="gramStart"/>
      <w:r w:rsidRPr="00D641CB">
        <w:rPr>
          <w:rFonts w:ascii="Arial" w:hAnsi="Arial" w:cs="Arial"/>
          <w:color w:val="000000"/>
          <w:sz w:val="22"/>
          <w:szCs w:val="22"/>
        </w:rPr>
        <w:t>9.</w:t>
      </w:r>
      <w:proofErr w:type="gramEnd"/>
    </w:p>
    <w:p w:rsidR="00D641CB" w:rsidRPr="00D641CB" w:rsidRDefault="00D641CB" w:rsidP="00D641CB">
      <w:pPr>
        <w:ind w:left="0" w:firstLine="0"/>
        <w:rPr>
          <w:color w:val="000000"/>
          <w:sz w:val="22"/>
          <w:lang w:val="en-GB"/>
        </w:rPr>
      </w:pPr>
    </w:p>
    <w:p w:rsidR="00D641CB" w:rsidRPr="00D641CB" w:rsidRDefault="00D641CB" w:rsidP="00D641CB">
      <w:pPr>
        <w:ind w:left="0" w:firstLine="0"/>
        <w:rPr>
          <w:rStyle w:val="referencetext1"/>
          <w:color w:val="000000"/>
          <w:sz w:val="22"/>
          <w:lang w:val="en-GB"/>
        </w:rPr>
      </w:pPr>
      <w:r w:rsidRPr="00D641CB">
        <w:rPr>
          <w:color w:val="000000"/>
          <w:sz w:val="22"/>
          <w:lang w:val="en-GB"/>
        </w:rPr>
        <w:t xml:space="preserve">3. </w:t>
      </w:r>
      <w:proofErr w:type="spellStart"/>
      <w:r w:rsidRPr="00D641CB">
        <w:rPr>
          <w:rStyle w:val="referencetext1"/>
          <w:color w:val="000000"/>
          <w:sz w:val="22"/>
          <w:lang w:val="en-GB"/>
        </w:rPr>
        <w:t>Marsella</w:t>
      </w:r>
      <w:proofErr w:type="spellEnd"/>
      <w:r w:rsidRPr="00D641CB">
        <w:rPr>
          <w:rStyle w:val="referencetext1"/>
          <w:color w:val="000000"/>
          <w:sz w:val="22"/>
          <w:lang w:val="en-GB"/>
        </w:rPr>
        <w:t xml:space="preserve"> R, de </w:t>
      </w:r>
      <w:proofErr w:type="spellStart"/>
      <w:r w:rsidRPr="00D641CB">
        <w:rPr>
          <w:rStyle w:val="referencetext1"/>
          <w:color w:val="000000"/>
          <w:sz w:val="22"/>
          <w:lang w:val="en-GB"/>
        </w:rPr>
        <w:t>Gopegui</w:t>
      </w:r>
      <w:proofErr w:type="spellEnd"/>
      <w:r w:rsidRPr="00D641CB">
        <w:rPr>
          <w:rStyle w:val="referencetext1"/>
          <w:color w:val="000000"/>
          <w:sz w:val="22"/>
          <w:lang w:val="en-GB"/>
        </w:rPr>
        <w:t xml:space="preserve"> RR (1998). Leishmaniasis: a re-emerging </w:t>
      </w:r>
      <w:proofErr w:type="spellStart"/>
      <w:r w:rsidRPr="00D641CB">
        <w:rPr>
          <w:rStyle w:val="referencetext1"/>
          <w:color w:val="000000"/>
          <w:sz w:val="22"/>
          <w:lang w:val="en-GB"/>
        </w:rPr>
        <w:t>zoonozis</w:t>
      </w:r>
      <w:proofErr w:type="spellEnd"/>
      <w:r w:rsidRPr="00D641CB">
        <w:rPr>
          <w:rStyle w:val="referencetext1"/>
          <w:color w:val="000000"/>
          <w:sz w:val="22"/>
          <w:lang w:val="en-GB"/>
        </w:rPr>
        <w:t xml:space="preserve">. Int. J. </w:t>
      </w:r>
      <w:proofErr w:type="spellStart"/>
      <w:r w:rsidRPr="00D641CB">
        <w:rPr>
          <w:rStyle w:val="referencetext1"/>
          <w:color w:val="000000"/>
          <w:sz w:val="22"/>
          <w:lang w:val="en-GB"/>
        </w:rPr>
        <w:t>Dermatol</w:t>
      </w:r>
      <w:proofErr w:type="spellEnd"/>
      <w:r w:rsidRPr="00D641CB">
        <w:rPr>
          <w:rStyle w:val="referencetext1"/>
          <w:color w:val="000000"/>
          <w:sz w:val="22"/>
          <w:lang w:val="en-GB"/>
        </w:rPr>
        <w:t xml:space="preserve"> </w:t>
      </w:r>
      <w:r w:rsidRPr="00D641CB">
        <w:rPr>
          <w:rStyle w:val="Strong"/>
          <w:bCs w:val="0"/>
          <w:color w:val="000000"/>
          <w:sz w:val="22"/>
          <w:lang w:val="en-GB"/>
        </w:rPr>
        <w:t>37:</w:t>
      </w:r>
      <w:r w:rsidRPr="00D641CB">
        <w:rPr>
          <w:rStyle w:val="referencetext1"/>
          <w:bCs/>
          <w:color w:val="000000"/>
          <w:sz w:val="22"/>
          <w:lang w:val="en-GB"/>
        </w:rPr>
        <w:t xml:space="preserve"> </w:t>
      </w:r>
      <w:r w:rsidRPr="00D641CB">
        <w:rPr>
          <w:rStyle w:val="referencetext1"/>
          <w:color w:val="000000"/>
          <w:sz w:val="22"/>
          <w:lang w:val="en-GB"/>
        </w:rPr>
        <w:t>801–814.</w:t>
      </w:r>
    </w:p>
    <w:p w:rsidR="00D641CB" w:rsidRPr="00D641CB" w:rsidRDefault="00D641CB" w:rsidP="00D641CB">
      <w:pPr>
        <w:ind w:left="0" w:firstLine="0"/>
        <w:rPr>
          <w:rStyle w:val="referencetext1"/>
          <w:color w:val="000000"/>
          <w:sz w:val="22"/>
          <w:lang w:val="en-GB"/>
        </w:rPr>
      </w:pPr>
    </w:p>
    <w:p w:rsidR="00D641CB" w:rsidRPr="00D641CB" w:rsidRDefault="00D641CB" w:rsidP="00D641CB">
      <w:pPr>
        <w:ind w:left="0" w:firstLine="0"/>
        <w:rPr>
          <w:color w:val="000000"/>
          <w:sz w:val="22"/>
        </w:rPr>
      </w:pPr>
      <w:r w:rsidRPr="00D641CB">
        <w:rPr>
          <w:color w:val="000000"/>
          <w:sz w:val="22"/>
          <w:lang w:val="en-GB"/>
        </w:rPr>
        <w:t xml:space="preserve">4. </w:t>
      </w:r>
      <w:hyperlink r:id="rId14" w:history="1">
        <w:proofErr w:type="spellStart"/>
        <w:r w:rsidRPr="00D641CB">
          <w:rPr>
            <w:rStyle w:val="Hyperlink"/>
            <w:color w:val="000000"/>
            <w:sz w:val="22"/>
            <w:u w:val="none"/>
            <w:lang w:val="en-GB"/>
          </w:rPr>
          <w:t>Gramiccia</w:t>
        </w:r>
        <w:proofErr w:type="spellEnd"/>
        <w:r w:rsidRPr="00D641CB">
          <w:rPr>
            <w:rStyle w:val="Hyperlink"/>
            <w:color w:val="000000"/>
            <w:sz w:val="22"/>
            <w:u w:val="none"/>
            <w:lang w:val="en-GB"/>
          </w:rPr>
          <w:t xml:space="preserve"> M</w:t>
        </w:r>
      </w:hyperlink>
      <w:r w:rsidRPr="00D641CB">
        <w:rPr>
          <w:color w:val="000000"/>
          <w:sz w:val="22"/>
          <w:lang w:val="en-GB"/>
        </w:rPr>
        <w:t xml:space="preserve">, </w:t>
      </w:r>
      <w:hyperlink r:id="rId15" w:history="1">
        <w:proofErr w:type="spellStart"/>
        <w:r w:rsidRPr="00D641CB">
          <w:rPr>
            <w:rStyle w:val="Hyperlink"/>
            <w:color w:val="000000"/>
            <w:sz w:val="22"/>
            <w:u w:val="none"/>
            <w:lang w:val="en-GB"/>
          </w:rPr>
          <w:t>Bettini</w:t>
        </w:r>
        <w:proofErr w:type="spellEnd"/>
        <w:r w:rsidRPr="00D641CB">
          <w:rPr>
            <w:rStyle w:val="Hyperlink"/>
            <w:color w:val="000000"/>
            <w:sz w:val="22"/>
            <w:u w:val="none"/>
            <w:lang w:val="en-GB"/>
          </w:rPr>
          <w:t xml:space="preserve"> S</w:t>
        </w:r>
      </w:hyperlink>
      <w:r w:rsidRPr="00D641CB">
        <w:rPr>
          <w:color w:val="000000"/>
          <w:sz w:val="22"/>
          <w:lang w:val="en-GB"/>
        </w:rPr>
        <w:t xml:space="preserve">, </w:t>
      </w:r>
      <w:hyperlink r:id="rId16" w:history="1">
        <w:proofErr w:type="spellStart"/>
        <w:r w:rsidRPr="00D641CB">
          <w:rPr>
            <w:rStyle w:val="Hyperlink"/>
            <w:color w:val="000000"/>
            <w:sz w:val="22"/>
            <w:u w:val="none"/>
            <w:lang w:val="en-GB"/>
          </w:rPr>
          <w:t>Yasarol</w:t>
        </w:r>
        <w:proofErr w:type="spellEnd"/>
        <w:r w:rsidRPr="00D641CB">
          <w:rPr>
            <w:rStyle w:val="Hyperlink"/>
            <w:color w:val="000000"/>
            <w:sz w:val="22"/>
            <w:u w:val="none"/>
            <w:lang w:val="en-GB"/>
          </w:rPr>
          <w:t xml:space="preserve"> S</w:t>
        </w:r>
      </w:hyperlink>
      <w:r w:rsidRPr="00D641CB">
        <w:rPr>
          <w:color w:val="000000"/>
          <w:sz w:val="22"/>
        </w:rPr>
        <w:t xml:space="preserve"> (1984)</w:t>
      </w:r>
      <w:r w:rsidRPr="00D641CB">
        <w:rPr>
          <w:color w:val="000000"/>
          <w:sz w:val="22"/>
          <w:lang w:val="en-GB"/>
        </w:rPr>
        <w:t xml:space="preserve">. </w:t>
      </w:r>
      <w:proofErr w:type="spellStart"/>
      <w:r w:rsidRPr="00D641CB">
        <w:rPr>
          <w:color w:val="000000"/>
          <w:sz w:val="22"/>
          <w:lang w:val="en-GB"/>
        </w:rPr>
        <w:t>Isoenzyme</w:t>
      </w:r>
      <w:proofErr w:type="spellEnd"/>
      <w:r w:rsidRPr="00D641CB">
        <w:rPr>
          <w:color w:val="000000"/>
          <w:sz w:val="22"/>
          <w:lang w:val="en-GB"/>
        </w:rPr>
        <w:t xml:space="preserve"> characterization of Leishmania isolates from human cases of cutaneous leishmaniasis in Urfa, south-east Turkey. </w:t>
      </w:r>
      <w:hyperlink r:id="rId17" w:anchor="#" w:tooltip="Transactions of the Royal Society of Tropical Medicine and Hygiene." w:history="1">
        <w:proofErr w:type="spellStart"/>
        <w:r w:rsidRPr="00D641CB">
          <w:rPr>
            <w:rStyle w:val="Hyperlink"/>
            <w:color w:val="000000"/>
            <w:sz w:val="22"/>
            <w:u w:val="none"/>
          </w:rPr>
          <w:t>Trans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R </w:t>
        </w:r>
        <w:proofErr w:type="spellStart"/>
        <w:r w:rsidRPr="00D641CB">
          <w:rPr>
            <w:rStyle w:val="Hyperlink"/>
            <w:color w:val="000000"/>
            <w:sz w:val="22"/>
            <w:u w:val="none"/>
          </w:rPr>
          <w:t>Soc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D641CB">
          <w:rPr>
            <w:rStyle w:val="Hyperlink"/>
            <w:color w:val="000000"/>
            <w:sz w:val="22"/>
            <w:u w:val="none"/>
          </w:rPr>
          <w:t>Trop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D641CB">
          <w:rPr>
            <w:rStyle w:val="Hyperlink"/>
            <w:color w:val="000000"/>
            <w:sz w:val="22"/>
            <w:u w:val="none"/>
          </w:rPr>
          <w:t>Med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D641CB">
          <w:rPr>
            <w:rStyle w:val="Hyperlink"/>
            <w:color w:val="000000"/>
            <w:sz w:val="22"/>
            <w:u w:val="none"/>
          </w:rPr>
          <w:t>Hyg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</w:t>
        </w:r>
      </w:hyperlink>
      <w:r w:rsidRPr="00D641CB">
        <w:rPr>
          <w:color w:val="000000"/>
          <w:sz w:val="22"/>
        </w:rPr>
        <w:t>78(4):568.</w:t>
      </w:r>
    </w:p>
    <w:p w:rsidR="00D641CB" w:rsidRPr="00D641CB" w:rsidRDefault="00D641CB" w:rsidP="00D641CB">
      <w:pPr>
        <w:ind w:left="0" w:firstLine="0"/>
        <w:rPr>
          <w:color w:val="000000"/>
          <w:sz w:val="22"/>
        </w:rPr>
      </w:pPr>
    </w:p>
    <w:p w:rsidR="00D641CB" w:rsidRPr="00D641CB" w:rsidRDefault="00D641CB" w:rsidP="00D641CB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  <w:r w:rsidRPr="00D641CB">
        <w:rPr>
          <w:color w:val="000000"/>
          <w:sz w:val="22"/>
        </w:rPr>
        <w:t xml:space="preserve">5. </w:t>
      </w:r>
      <w:proofErr w:type="spellStart"/>
      <w:r w:rsidRPr="00D641CB">
        <w:rPr>
          <w:rFonts w:eastAsia="SimSun"/>
          <w:color w:val="000000"/>
          <w:sz w:val="22"/>
          <w:lang w:eastAsia="zh-CN"/>
        </w:rPr>
        <w:t>Uzun</w:t>
      </w:r>
      <w:proofErr w:type="spellEnd"/>
      <w:r w:rsidRPr="00D641CB">
        <w:rPr>
          <w:rFonts w:eastAsia="SimSun"/>
          <w:color w:val="000000"/>
          <w:sz w:val="22"/>
          <w:lang w:eastAsia="zh-CN"/>
        </w:rPr>
        <w:t xml:space="preserve"> S, </w:t>
      </w:r>
      <w:proofErr w:type="spellStart"/>
      <w:r w:rsidRPr="00D641CB">
        <w:rPr>
          <w:rFonts w:eastAsia="SimSun"/>
          <w:color w:val="000000"/>
          <w:sz w:val="22"/>
          <w:lang w:eastAsia="zh-CN"/>
        </w:rPr>
        <w:t>Uslular</w:t>
      </w:r>
      <w:proofErr w:type="spellEnd"/>
      <w:r w:rsidRPr="00D641CB">
        <w:rPr>
          <w:rFonts w:eastAsia="SimSun"/>
          <w:color w:val="000000"/>
          <w:sz w:val="22"/>
          <w:lang w:eastAsia="zh-CN"/>
        </w:rPr>
        <w:t xml:space="preserve"> C, </w:t>
      </w:r>
      <w:proofErr w:type="spellStart"/>
      <w:r w:rsidRPr="00D641CB">
        <w:rPr>
          <w:rFonts w:eastAsia="SimSun"/>
          <w:color w:val="000000"/>
          <w:sz w:val="22"/>
          <w:lang w:eastAsia="zh-CN"/>
        </w:rPr>
        <w:t>Yücel</w:t>
      </w:r>
      <w:proofErr w:type="spellEnd"/>
      <w:r w:rsidRPr="00D641CB">
        <w:rPr>
          <w:rFonts w:eastAsia="SimSun"/>
          <w:color w:val="000000"/>
          <w:sz w:val="22"/>
          <w:lang w:eastAsia="zh-CN"/>
        </w:rPr>
        <w:t xml:space="preserve"> A, </w:t>
      </w:r>
      <w:proofErr w:type="spellStart"/>
      <w:r w:rsidRPr="00D641CB">
        <w:rPr>
          <w:rFonts w:eastAsia="SimSun"/>
          <w:color w:val="000000"/>
          <w:sz w:val="22"/>
          <w:lang w:eastAsia="zh-CN"/>
        </w:rPr>
        <w:t>Acar</w:t>
      </w:r>
      <w:proofErr w:type="spellEnd"/>
      <w:r w:rsidRPr="00D641CB">
        <w:rPr>
          <w:rFonts w:eastAsia="SimSun"/>
          <w:color w:val="000000"/>
          <w:sz w:val="22"/>
          <w:lang w:eastAsia="zh-CN"/>
        </w:rPr>
        <w:t xml:space="preserve"> MA, </w:t>
      </w:r>
      <w:proofErr w:type="spellStart"/>
      <w:r w:rsidRPr="00D641CB">
        <w:rPr>
          <w:rFonts w:eastAsia="SimSun"/>
          <w:color w:val="000000"/>
          <w:sz w:val="22"/>
          <w:lang w:eastAsia="zh-CN"/>
        </w:rPr>
        <w:t>Ozpoyraz</w:t>
      </w:r>
      <w:proofErr w:type="spellEnd"/>
      <w:r w:rsidRPr="00D641CB">
        <w:rPr>
          <w:rFonts w:eastAsia="SimSun"/>
          <w:color w:val="000000"/>
          <w:sz w:val="22"/>
          <w:lang w:eastAsia="zh-CN"/>
        </w:rPr>
        <w:t xml:space="preserve"> M et al (1999). </w:t>
      </w:r>
      <w:hyperlink r:id="rId18" w:history="1">
        <w:r w:rsidRPr="00D641CB">
          <w:rPr>
            <w:color w:val="000000"/>
            <w:sz w:val="22"/>
            <w:lang w:val="en-GB"/>
          </w:rPr>
          <w:t xml:space="preserve">Cutaneous leishmaniasis: evaluation of 3,074 cases in the </w:t>
        </w:r>
        <w:proofErr w:type="spellStart"/>
        <w:r w:rsidRPr="00D641CB">
          <w:rPr>
            <w:color w:val="000000"/>
            <w:sz w:val="22"/>
            <w:lang w:val="en-GB"/>
          </w:rPr>
          <w:t>Cukurova</w:t>
        </w:r>
        <w:proofErr w:type="spellEnd"/>
        <w:r w:rsidRPr="00D641CB">
          <w:rPr>
            <w:color w:val="000000"/>
            <w:sz w:val="22"/>
            <w:lang w:val="en-GB"/>
          </w:rPr>
          <w:t xml:space="preserve"> region of Turkey.</w:t>
        </w:r>
      </w:hyperlink>
      <w:r w:rsidRPr="00D641CB">
        <w:rPr>
          <w:rFonts w:eastAsia="SimSun"/>
          <w:color w:val="000000"/>
          <w:sz w:val="22"/>
          <w:lang w:val="en-GB" w:eastAsia="zh-CN"/>
        </w:rPr>
        <w:t xml:space="preserve"> Br J </w:t>
      </w:r>
      <w:proofErr w:type="spellStart"/>
      <w:r w:rsidRPr="00D641CB">
        <w:rPr>
          <w:rFonts w:eastAsia="SimSun"/>
          <w:color w:val="000000"/>
          <w:sz w:val="22"/>
          <w:lang w:val="en-GB" w:eastAsia="zh-CN"/>
        </w:rPr>
        <w:t>Dermatol</w:t>
      </w:r>
      <w:proofErr w:type="spellEnd"/>
      <w:r w:rsidRPr="00D641CB">
        <w:rPr>
          <w:rFonts w:eastAsia="SimSun"/>
          <w:color w:val="000000"/>
          <w:sz w:val="22"/>
          <w:lang w:val="en-GB" w:eastAsia="zh-CN"/>
        </w:rPr>
        <w:t xml:space="preserve"> 140(2):347-50.</w:t>
      </w:r>
    </w:p>
    <w:p w:rsidR="00D641CB" w:rsidRPr="00D641CB" w:rsidRDefault="00D641CB" w:rsidP="00D641CB">
      <w:pPr>
        <w:ind w:left="0" w:firstLine="0"/>
        <w:rPr>
          <w:rFonts w:eastAsia="SimSun"/>
          <w:sz w:val="22"/>
          <w:lang w:val="en-GB" w:eastAsia="zh-CN"/>
        </w:rPr>
      </w:pPr>
    </w:p>
    <w:p w:rsidR="00D641CB" w:rsidRPr="00D641CB" w:rsidRDefault="00D641CB" w:rsidP="00D641CB">
      <w:pPr>
        <w:ind w:left="0" w:firstLine="0"/>
        <w:rPr>
          <w:rFonts w:eastAsia="SimSun"/>
          <w:iCs/>
          <w:sz w:val="22"/>
          <w:lang w:val="en-GB" w:eastAsia="zh-CN"/>
        </w:rPr>
      </w:pPr>
      <w:r w:rsidRPr="00D641CB">
        <w:rPr>
          <w:rFonts w:eastAsia="SimSun"/>
          <w:sz w:val="22"/>
          <w:lang w:val="en-GB" w:eastAsia="zh-CN"/>
        </w:rPr>
        <w:t xml:space="preserve">6. </w:t>
      </w:r>
      <w:proofErr w:type="spellStart"/>
      <w:r w:rsidRPr="00D641CB">
        <w:rPr>
          <w:rFonts w:eastAsia="SimSun"/>
          <w:sz w:val="22"/>
          <w:lang w:val="en-GB" w:eastAsia="zh-CN"/>
        </w:rPr>
        <w:t>Demirel</w:t>
      </w:r>
      <w:proofErr w:type="spellEnd"/>
      <w:r w:rsidRPr="00D641CB">
        <w:rPr>
          <w:rFonts w:eastAsia="SimSun"/>
          <w:sz w:val="22"/>
          <w:lang w:val="en-GB" w:eastAsia="zh-CN"/>
        </w:rPr>
        <w:t xml:space="preserve"> R, </w:t>
      </w:r>
      <w:proofErr w:type="spellStart"/>
      <w:r w:rsidRPr="00D641CB">
        <w:rPr>
          <w:rFonts w:eastAsia="SimSun"/>
          <w:sz w:val="22"/>
          <w:lang w:val="en-GB" w:eastAsia="zh-CN"/>
        </w:rPr>
        <w:t>Erdo</w:t>
      </w:r>
      <w:r w:rsidRPr="00D641CB">
        <w:rPr>
          <w:rFonts w:eastAsia="SimSun"/>
          <w:color w:val="000000"/>
          <w:sz w:val="22"/>
          <w:lang w:val="en-GB" w:eastAsia="zh-CN"/>
        </w:rPr>
        <w:t>ğan</w:t>
      </w:r>
      <w:proofErr w:type="spellEnd"/>
      <w:r w:rsidRPr="00D641CB">
        <w:rPr>
          <w:rFonts w:eastAsia="SimSun"/>
          <w:sz w:val="22"/>
          <w:lang w:val="en-GB" w:eastAsia="zh-CN"/>
        </w:rPr>
        <w:t xml:space="preserve"> S (2009). Determination of High Risk Regions of Cutaneous Leishmaniasis in Turkey Using Spatial Analysis</w:t>
      </w:r>
      <w:r w:rsidRPr="00D641CB">
        <w:rPr>
          <w:rFonts w:eastAsia="SimSun"/>
          <w:iCs/>
          <w:sz w:val="22"/>
          <w:lang w:val="en-GB" w:eastAsia="zh-CN"/>
        </w:rPr>
        <w:t xml:space="preserve"> </w:t>
      </w:r>
      <w:proofErr w:type="spellStart"/>
      <w:r w:rsidRPr="00D641CB">
        <w:rPr>
          <w:rFonts w:eastAsia="SimSun"/>
          <w:iCs/>
          <w:sz w:val="22"/>
          <w:lang w:val="en-GB" w:eastAsia="zh-CN"/>
        </w:rPr>
        <w:t>Türkiye</w:t>
      </w:r>
      <w:proofErr w:type="spellEnd"/>
      <w:r w:rsidRPr="00D641CB">
        <w:rPr>
          <w:rFonts w:eastAsia="SimSun"/>
          <w:iCs/>
          <w:sz w:val="22"/>
          <w:lang w:val="en-GB" w:eastAsia="zh-CN"/>
        </w:rPr>
        <w:t xml:space="preserve"> </w:t>
      </w:r>
      <w:proofErr w:type="spellStart"/>
      <w:r w:rsidRPr="00D641CB">
        <w:rPr>
          <w:rFonts w:eastAsia="SimSun"/>
          <w:iCs/>
          <w:sz w:val="22"/>
          <w:lang w:val="en-GB" w:eastAsia="zh-CN"/>
        </w:rPr>
        <w:t>Parazitoloji</w:t>
      </w:r>
      <w:proofErr w:type="spellEnd"/>
      <w:r w:rsidRPr="00D641CB">
        <w:rPr>
          <w:rFonts w:eastAsia="SimSun"/>
          <w:iCs/>
          <w:sz w:val="22"/>
          <w:lang w:val="en-GB" w:eastAsia="zh-CN"/>
        </w:rPr>
        <w:t xml:space="preserve"> </w:t>
      </w:r>
      <w:proofErr w:type="spellStart"/>
      <w:r w:rsidRPr="00D641CB">
        <w:rPr>
          <w:rFonts w:eastAsia="SimSun"/>
          <w:iCs/>
          <w:sz w:val="22"/>
          <w:lang w:val="en-GB" w:eastAsia="zh-CN"/>
        </w:rPr>
        <w:t>Dergisi</w:t>
      </w:r>
      <w:proofErr w:type="spellEnd"/>
      <w:r w:rsidRPr="00D641CB">
        <w:rPr>
          <w:rFonts w:eastAsia="SimSun"/>
          <w:iCs/>
          <w:sz w:val="22"/>
          <w:lang w:val="en-GB" w:eastAsia="zh-CN"/>
        </w:rPr>
        <w:t xml:space="preserve"> 33 (1): 8 - 14.</w:t>
      </w:r>
    </w:p>
    <w:p w:rsidR="00D641CB" w:rsidRPr="00D641CB" w:rsidRDefault="00D641CB" w:rsidP="00D641CB">
      <w:pPr>
        <w:ind w:left="0" w:firstLine="0"/>
        <w:rPr>
          <w:rFonts w:eastAsia="SimSun"/>
          <w:iCs/>
          <w:sz w:val="22"/>
          <w:lang w:val="en-GB" w:eastAsia="zh-CN"/>
        </w:rPr>
      </w:pPr>
    </w:p>
    <w:p w:rsidR="00D641CB" w:rsidRPr="00D641CB" w:rsidRDefault="00D641CB" w:rsidP="00D641CB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641CB">
        <w:rPr>
          <w:rFonts w:ascii="Arial" w:hAnsi="Arial" w:cs="Arial"/>
          <w:color w:val="000000"/>
          <w:sz w:val="22"/>
          <w:szCs w:val="22"/>
        </w:rPr>
        <w:t xml:space="preserve">7.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Zeyrek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FY,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Korkmaz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M, </w:t>
      </w:r>
      <w:r w:rsidRPr="00D641CB">
        <w:rPr>
          <w:rFonts w:ascii="Arial" w:eastAsia="+mn-ea" w:hAnsi="Arial" w:cs="Arial"/>
          <w:color w:val="000000"/>
          <w:kern w:val="24"/>
          <w:sz w:val="22"/>
          <w:lang w:val="en-US" w:eastAsia="es-ES"/>
        </w:rPr>
        <w:t>Ö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zbel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Y (2007). </w:t>
      </w:r>
      <w:hyperlink r:id="rId19" w:history="1">
        <w:proofErr w:type="spellStart"/>
        <w:r w:rsidRPr="00D641CB">
          <w:rPr>
            <w:rFonts w:ascii="Arial" w:hAnsi="Arial" w:cs="Arial"/>
            <w:color w:val="000000"/>
            <w:sz w:val="22"/>
            <w:szCs w:val="22"/>
          </w:rPr>
          <w:t>Serodiagnosis</w:t>
        </w:r>
        <w:proofErr w:type="spellEnd"/>
        <w:r w:rsidRPr="00D641CB">
          <w:rPr>
            <w:rFonts w:ascii="Arial" w:hAnsi="Arial" w:cs="Arial"/>
            <w:color w:val="000000"/>
            <w:sz w:val="22"/>
            <w:szCs w:val="22"/>
          </w:rPr>
          <w:t xml:space="preserve"> of anthroponotic cutaneous leishmaniasis (ACL) caused by Leishmania tropica in </w:t>
        </w:r>
        <w:proofErr w:type="spellStart"/>
        <w:r w:rsidRPr="00D641CB">
          <w:rPr>
            <w:rFonts w:ascii="Arial" w:hAnsi="Arial" w:cs="Arial"/>
            <w:color w:val="000000"/>
            <w:sz w:val="22"/>
            <w:szCs w:val="22"/>
          </w:rPr>
          <w:t>Sanliurfa</w:t>
        </w:r>
        <w:proofErr w:type="spellEnd"/>
        <w:r w:rsidRPr="00D641CB">
          <w:rPr>
            <w:rFonts w:ascii="Arial" w:hAnsi="Arial" w:cs="Arial"/>
            <w:color w:val="000000"/>
            <w:sz w:val="22"/>
            <w:szCs w:val="22"/>
          </w:rPr>
          <w:t xml:space="preserve"> Province, Turkey, where ACL </w:t>
        </w:r>
        <w:proofErr w:type="gramStart"/>
        <w:r w:rsidRPr="00D641CB">
          <w:rPr>
            <w:rFonts w:ascii="Arial" w:hAnsi="Arial" w:cs="Arial"/>
            <w:color w:val="000000"/>
            <w:sz w:val="22"/>
            <w:szCs w:val="22"/>
          </w:rPr>
          <w:t>Is</w:t>
        </w:r>
        <w:proofErr w:type="gramEnd"/>
        <w:r w:rsidRPr="00D641CB">
          <w:rPr>
            <w:rFonts w:ascii="Arial" w:hAnsi="Arial" w:cs="Arial"/>
            <w:color w:val="000000"/>
            <w:sz w:val="22"/>
            <w:szCs w:val="22"/>
          </w:rPr>
          <w:t xml:space="preserve"> highly endemic.</w:t>
        </w:r>
      </w:hyperlink>
      <w:r w:rsidRPr="00D641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Clin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Vaccine </w:t>
      </w:r>
      <w:proofErr w:type="spellStart"/>
      <w:r w:rsidRPr="00D641CB">
        <w:rPr>
          <w:rFonts w:ascii="Arial" w:hAnsi="Arial" w:cs="Arial"/>
          <w:color w:val="000000"/>
          <w:sz w:val="22"/>
          <w:szCs w:val="22"/>
        </w:rPr>
        <w:t>Immunol</w:t>
      </w:r>
      <w:proofErr w:type="spellEnd"/>
      <w:r w:rsidRPr="00D641CB">
        <w:rPr>
          <w:rFonts w:ascii="Arial" w:hAnsi="Arial" w:cs="Arial"/>
          <w:color w:val="000000"/>
          <w:sz w:val="22"/>
          <w:szCs w:val="22"/>
        </w:rPr>
        <w:t xml:space="preserve"> 14(11):1409-15.</w:t>
      </w:r>
    </w:p>
    <w:p w:rsidR="00D641CB" w:rsidRPr="00D641CB" w:rsidRDefault="00D641CB" w:rsidP="00D641CB">
      <w:pPr>
        <w:ind w:left="0" w:firstLine="0"/>
        <w:rPr>
          <w:rFonts w:eastAsia="SimSun"/>
          <w:sz w:val="22"/>
          <w:lang w:val="en-GB" w:eastAsia="zh-CN"/>
        </w:rPr>
      </w:pPr>
    </w:p>
    <w:p w:rsidR="00D641CB" w:rsidRPr="00D641CB" w:rsidRDefault="00D641CB" w:rsidP="00D641CB">
      <w:pPr>
        <w:ind w:left="0" w:firstLine="0"/>
        <w:rPr>
          <w:color w:val="000000"/>
          <w:sz w:val="22"/>
        </w:rPr>
      </w:pPr>
      <w:r w:rsidRPr="00D641CB">
        <w:rPr>
          <w:sz w:val="22"/>
          <w:lang w:val="en-GB"/>
        </w:rPr>
        <w:t>8</w:t>
      </w:r>
      <w:r w:rsidRPr="00D641CB">
        <w:rPr>
          <w:color w:val="000000"/>
          <w:sz w:val="22"/>
          <w:lang w:val="en-GB"/>
        </w:rPr>
        <w:t xml:space="preserve">. </w:t>
      </w:r>
      <w:hyperlink r:id="rId20" w:history="1">
        <w:r w:rsidRPr="00D641CB">
          <w:rPr>
            <w:rStyle w:val="Hyperlink"/>
            <w:color w:val="000000"/>
            <w:sz w:val="22"/>
            <w:u w:val="none"/>
          </w:rPr>
          <w:t>Ok UZ</w:t>
        </w:r>
      </w:hyperlink>
      <w:r w:rsidRPr="00D641CB">
        <w:rPr>
          <w:color w:val="000000"/>
          <w:sz w:val="22"/>
        </w:rPr>
        <w:t xml:space="preserve">, </w:t>
      </w:r>
      <w:hyperlink r:id="rId21" w:history="1">
        <w:proofErr w:type="spellStart"/>
        <w:r w:rsidRPr="00D641CB">
          <w:rPr>
            <w:rStyle w:val="Hyperlink"/>
            <w:color w:val="000000"/>
            <w:sz w:val="22"/>
            <w:u w:val="none"/>
          </w:rPr>
          <w:t>Balcioğlu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IC</w:t>
        </w:r>
      </w:hyperlink>
      <w:r w:rsidRPr="00D641CB">
        <w:rPr>
          <w:color w:val="000000"/>
          <w:sz w:val="22"/>
        </w:rPr>
        <w:t xml:space="preserve">, </w:t>
      </w:r>
      <w:hyperlink r:id="rId22" w:history="1">
        <w:proofErr w:type="spellStart"/>
        <w:r w:rsidRPr="00D641CB">
          <w:rPr>
            <w:rStyle w:val="Hyperlink"/>
            <w:color w:val="000000"/>
            <w:sz w:val="22"/>
            <w:u w:val="none"/>
          </w:rPr>
          <w:t>Taylan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D641CB">
          <w:rPr>
            <w:rFonts w:eastAsia="+mn-ea"/>
            <w:color w:val="000000"/>
            <w:kern w:val="24"/>
            <w:sz w:val="22"/>
            <w:lang w:eastAsia="es-ES"/>
          </w:rPr>
          <w:t>Ö</w:t>
        </w:r>
        <w:r w:rsidRPr="00D641CB">
          <w:rPr>
            <w:rStyle w:val="Hyperlink"/>
            <w:color w:val="000000"/>
            <w:sz w:val="22"/>
            <w:u w:val="none"/>
          </w:rPr>
          <w:t>zkan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A</w:t>
        </w:r>
      </w:hyperlink>
      <w:r w:rsidRPr="00D641CB">
        <w:rPr>
          <w:color w:val="000000"/>
          <w:sz w:val="22"/>
        </w:rPr>
        <w:t xml:space="preserve">, </w:t>
      </w:r>
      <w:hyperlink r:id="rId23" w:history="1">
        <w:proofErr w:type="spellStart"/>
        <w:r w:rsidRPr="00D641CB">
          <w:rPr>
            <w:rStyle w:val="Hyperlink"/>
            <w:color w:val="000000"/>
            <w:sz w:val="22"/>
            <w:u w:val="none"/>
          </w:rPr>
          <w:t>Ozensoy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S</w:t>
        </w:r>
      </w:hyperlink>
      <w:r w:rsidRPr="00D641CB">
        <w:rPr>
          <w:color w:val="000000"/>
          <w:sz w:val="22"/>
        </w:rPr>
        <w:t xml:space="preserve">, </w:t>
      </w:r>
      <w:hyperlink r:id="rId24" w:history="1">
        <w:proofErr w:type="spellStart"/>
        <w:r w:rsidRPr="00D641CB">
          <w:rPr>
            <w:rFonts w:eastAsia="+mn-ea"/>
            <w:color w:val="000000"/>
            <w:kern w:val="24"/>
            <w:sz w:val="22"/>
            <w:lang w:eastAsia="es-ES"/>
          </w:rPr>
          <w:t>Ö</w:t>
        </w:r>
        <w:r w:rsidRPr="00D641CB">
          <w:rPr>
            <w:rStyle w:val="Hyperlink"/>
            <w:color w:val="000000"/>
            <w:sz w:val="22"/>
            <w:u w:val="none"/>
          </w:rPr>
          <w:t>zbel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Y</w:t>
        </w:r>
      </w:hyperlink>
      <w:r w:rsidRPr="00D641CB">
        <w:rPr>
          <w:color w:val="000000"/>
          <w:sz w:val="22"/>
        </w:rPr>
        <w:t xml:space="preserve"> (2002). Leishmaniasis in </w:t>
      </w:r>
      <w:proofErr w:type="spellStart"/>
      <w:r w:rsidRPr="00D641CB">
        <w:rPr>
          <w:color w:val="000000"/>
          <w:sz w:val="22"/>
        </w:rPr>
        <w:t>Turkey</w:t>
      </w:r>
      <w:proofErr w:type="spellEnd"/>
      <w:r w:rsidRPr="00D641CB">
        <w:rPr>
          <w:color w:val="000000"/>
          <w:sz w:val="22"/>
        </w:rPr>
        <w:t xml:space="preserve">. </w:t>
      </w:r>
      <w:hyperlink r:id="rId25" w:anchor="#" w:tooltip="Acta tropica." w:history="1">
        <w:r w:rsidRPr="00D641CB">
          <w:rPr>
            <w:rStyle w:val="Hyperlink"/>
            <w:color w:val="000000"/>
            <w:sz w:val="22"/>
            <w:u w:val="none"/>
          </w:rPr>
          <w:t xml:space="preserve">Acta </w:t>
        </w:r>
        <w:proofErr w:type="spellStart"/>
        <w:r w:rsidRPr="00D641CB">
          <w:rPr>
            <w:rStyle w:val="Hyperlink"/>
            <w:color w:val="000000"/>
            <w:sz w:val="22"/>
            <w:u w:val="none"/>
          </w:rPr>
          <w:t>Trop</w:t>
        </w:r>
        <w:proofErr w:type="spellEnd"/>
        <w:r w:rsidRPr="00D641CB">
          <w:rPr>
            <w:rStyle w:val="Hyperlink"/>
            <w:color w:val="000000"/>
            <w:sz w:val="22"/>
            <w:u w:val="none"/>
          </w:rPr>
          <w:t xml:space="preserve"> </w:t>
        </w:r>
      </w:hyperlink>
      <w:r w:rsidRPr="00D641CB">
        <w:rPr>
          <w:color w:val="000000"/>
          <w:sz w:val="22"/>
        </w:rPr>
        <w:t>84(1):43-8.</w:t>
      </w:r>
    </w:p>
    <w:sectPr w:rsidR="00D641CB" w:rsidRPr="00D641CB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C6"/>
    <w:multiLevelType w:val="hybridMultilevel"/>
    <w:tmpl w:val="12D49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41CB"/>
    <w:rsid w:val="000028F1"/>
    <w:rsid w:val="00010242"/>
    <w:rsid w:val="00046B72"/>
    <w:rsid w:val="00051D99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641CB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CB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D641C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D641CB"/>
    <w:rPr>
      <w:color w:val="0000FF"/>
      <w:u w:val="single"/>
    </w:rPr>
  </w:style>
  <w:style w:type="character" w:styleId="Strong">
    <w:name w:val="Strong"/>
    <w:basedOn w:val="DefaultParagraphFont"/>
    <w:qFormat/>
    <w:rsid w:val="00D641CB"/>
    <w:rPr>
      <w:b/>
      <w:bCs/>
    </w:rPr>
  </w:style>
  <w:style w:type="paragraph" w:customStyle="1" w:styleId="title1">
    <w:name w:val="title1"/>
    <w:basedOn w:val="Normal"/>
    <w:rsid w:val="00D641CB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character" w:customStyle="1" w:styleId="referencetext1">
    <w:name w:val="referencetext1"/>
    <w:basedOn w:val="DefaultParagraphFont"/>
    <w:rsid w:val="00D641C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CB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/9749626" TargetMode="External"/><Relationship Id="rId18" Type="http://schemas.openxmlformats.org/officeDocument/2006/relationships/hyperlink" Target="http://www.ncbi.nlm.nih.gov/pubmed/102332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Balcio%C4%9Flu%20IC%22%5BAuthor%5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/8745931" TargetMode="External"/><Relationship Id="rId17" Type="http://schemas.openxmlformats.org/officeDocument/2006/relationships/hyperlink" Target="http://www.ncbi.nlm.nih.gov/pubmed?term=Gramiccia%2C%20leishmaniasis%2C%20turkey" TargetMode="External"/><Relationship Id="rId25" Type="http://schemas.openxmlformats.org/officeDocument/2006/relationships/hyperlink" Target="http://www.ncbi.nlm.nih.gov/pubmed/123879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Yasarol%20S%22%5BAuthor%5D" TargetMode="External"/><Relationship Id="rId20" Type="http://schemas.openxmlformats.org/officeDocument/2006/relationships/hyperlink" Target="http://www.ncbi.nlm.nih.gov/pubmed?term=%22Ok%20UZ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24" Type="http://schemas.openxmlformats.org/officeDocument/2006/relationships/hyperlink" Target="http://www.ncbi.nlm.nih.gov/pubmed?term=%22Ozbel%20Y%22%5BAuthor%5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Bettini%20S%22%5BAuthor%5D" TargetMode="External"/><Relationship Id="rId23" Type="http://schemas.openxmlformats.org/officeDocument/2006/relationships/hyperlink" Target="http://www.ncbi.nlm.nih.gov/pubmed?term=%22Ozensoy%20S%22%5BAuthor%5D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ncbi.nlm.nih.gov/pubmed/177615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cbi.nlm.nih.gov/pubmed?term=%22Gramiccia%20M%22%5BAuthor%5D" TargetMode="External"/><Relationship Id="rId22" Type="http://schemas.openxmlformats.org/officeDocument/2006/relationships/hyperlink" Target="http://www.ncbi.nlm.nih.gov/pubmed?term=%22Taylan%20Ozkan%20A%22%5BAuthor%5D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8275862068965475E-2"/>
          <c:w val="0.90401146131805155"/>
          <c:h val="0.7758620689655172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7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5692</c:v>
                </c:pt>
                <c:pt idx="1">
                  <c:v>2181</c:v>
                </c:pt>
                <c:pt idx="2">
                  <c:v>2159</c:v>
                </c:pt>
                <c:pt idx="3">
                  <c:v>1242</c:v>
                </c:pt>
                <c:pt idx="4">
                  <c:v>1498</c:v>
                </c:pt>
                <c:pt idx="5">
                  <c:v>1010</c:v>
                </c:pt>
                <c:pt idx="6">
                  <c:v>1153</c:v>
                </c:pt>
                <c:pt idx="7">
                  <c:v>994</c:v>
                </c:pt>
                <c:pt idx="8">
                  <c:v>2721</c:v>
                </c:pt>
                <c:pt idx="9">
                  <c:v>2820</c:v>
                </c:pt>
                <c:pt idx="10">
                  <c:v>4187</c:v>
                </c:pt>
                <c:pt idx="11">
                  <c:v>1926</c:v>
                </c:pt>
                <c:pt idx="12">
                  <c:v>1892</c:v>
                </c:pt>
                <c:pt idx="13">
                  <c:v>1499</c:v>
                </c:pt>
                <c:pt idx="14">
                  <c:v>1161</c:v>
                </c:pt>
                <c:pt idx="15">
                  <c:v>1696</c:v>
                </c:pt>
                <c:pt idx="16">
                  <c:v>2237</c:v>
                </c:pt>
              </c:numCache>
            </c:numRef>
          </c:val>
        </c:ser>
        <c:gapDepth val="0"/>
        <c:shape val="box"/>
        <c:axId val="284663168"/>
        <c:axId val="285357184"/>
        <c:axId val="0"/>
      </c:bar3DChart>
      <c:catAx>
        <c:axId val="28466316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357184"/>
        <c:crosses val="autoZero"/>
        <c:auto val="1"/>
        <c:lblAlgn val="ctr"/>
        <c:lblOffset val="100"/>
        <c:tickLblSkip val="1"/>
        <c:tickMarkSkip val="1"/>
      </c:catAx>
      <c:valAx>
        <c:axId val="285357184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4663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2012-04-02T18:47:00Z</dcterms:created>
  <dcterms:modified xsi:type="dcterms:W3CDTF">2012-04-02T18:49:00Z</dcterms:modified>
</cp:coreProperties>
</file>